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530" w:rsidRPr="00E672B8" w:rsidRDefault="00701530" w:rsidP="00701530">
      <w:pPr>
        <w:spacing w:line="480" w:lineRule="auto"/>
        <w:jc w:val="center"/>
      </w:pPr>
      <w:bookmarkStart w:id="0" w:name="_GoBack"/>
      <w:bookmarkEnd w:id="0"/>
      <w:r w:rsidRPr="00E672B8">
        <w:t>THE RELATIONSHIP OF PON1 ACTIVITY WITH LIPID METABOLISM</w:t>
      </w:r>
      <w:r w:rsidR="00822675">
        <w:t xml:space="preserve"> </w:t>
      </w:r>
      <w:r w:rsidR="00822675" w:rsidRPr="00E672B8">
        <w:t>IN OBESE WOMEN</w:t>
      </w:r>
    </w:p>
    <w:p w:rsidR="00701530" w:rsidRPr="00AF27DB" w:rsidRDefault="00701530" w:rsidP="00701530">
      <w:pPr>
        <w:spacing w:line="480" w:lineRule="auto"/>
        <w:jc w:val="both"/>
        <w:rPr>
          <w:vertAlign w:val="superscript"/>
        </w:rPr>
      </w:pPr>
      <w:r>
        <w:t>Fatih ÖZCAN</w:t>
      </w:r>
      <w:r w:rsidR="00722162">
        <w:rPr>
          <w:vertAlign w:val="superscript"/>
        </w:rPr>
        <w:t>1</w:t>
      </w:r>
    </w:p>
    <w:p w:rsidR="00701530" w:rsidRPr="00AF27DB" w:rsidRDefault="00701530" w:rsidP="00701530">
      <w:pPr>
        <w:spacing w:line="480" w:lineRule="auto"/>
        <w:jc w:val="both"/>
        <w:rPr>
          <w:vertAlign w:val="superscript"/>
        </w:rPr>
      </w:pPr>
      <w:r>
        <w:t>Güler BUĞDAYCI</w:t>
      </w:r>
      <w:r w:rsidR="007B3533">
        <w:rPr>
          <w:vertAlign w:val="superscript"/>
        </w:rPr>
        <w:t>2</w:t>
      </w:r>
    </w:p>
    <w:p w:rsidR="00701530" w:rsidRDefault="00701530" w:rsidP="00701530">
      <w:pPr>
        <w:spacing w:line="480" w:lineRule="auto"/>
        <w:jc w:val="both"/>
        <w:rPr>
          <w:vertAlign w:val="superscript"/>
        </w:rPr>
      </w:pPr>
      <w:r>
        <w:t>Erdinç SERİN</w:t>
      </w:r>
      <w:r w:rsidR="007B3533">
        <w:rPr>
          <w:vertAlign w:val="superscript"/>
        </w:rPr>
        <w:t>3</w:t>
      </w:r>
    </w:p>
    <w:p w:rsidR="00822675" w:rsidRDefault="00822675" w:rsidP="00701530">
      <w:pPr>
        <w:spacing w:line="480" w:lineRule="auto"/>
        <w:jc w:val="both"/>
        <w:rPr>
          <w:vertAlign w:val="superscript"/>
        </w:rPr>
      </w:pPr>
      <w:r>
        <w:t>Mehmet TOSUN</w:t>
      </w:r>
      <w:r w:rsidR="007B3533">
        <w:rPr>
          <w:vertAlign w:val="superscript"/>
        </w:rPr>
        <w:t>2</w:t>
      </w:r>
    </w:p>
    <w:p w:rsidR="00822675" w:rsidRPr="00822675" w:rsidRDefault="00822675" w:rsidP="00701530">
      <w:pPr>
        <w:spacing w:line="480" w:lineRule="auto"/>
        <w:jc w:val="both"/>
      </w:pPr>
    </w:p>
    <w:p w:rsidR="00701530" w:rsidRPr="00E672B8" w:rsidRDefault="00701530" w:rsidP="00701530">
      <w:pPr>
        <w:spacing w:line="480" w:lineRule="auto"/>
        <w:jc w:val="both"/>
      </w:pPr>
    </w:p>
    <w:p w:rsidR="0003077D" w:rsidRDefault="0003077D" w:rsidP="00701530">
      <w:pPr>
        <w:spacing w:line="480" w:lineRule="auto"/>
        <w:jc w:val="both"/>
        <w:rPr>
          <w:vertAlign w:val="superscript"/>
        </w:rPr>
      </w:pPr>
    </w:p>
    <w:p w:rsidR="00701530" w:rsidRPr="00E672B8" w:rsidRDefault="0003077D" w:rsidP="00701530">
      <w:pPr>
        <w:spacing w:line="480" w:lineRule="auto"/>
        <w:jc w:val="both"/>
      </w:pPr>
      <w:r>
        <w:rPr>
          <w:vertAlign w:val="superscript"/>
        </w:rPr>
        <w:t>1</w:t>
      </w:r>
      <w:r w:rsidR="00BA65DF">
        <w:t xml:space="preserve">Department of Medical </w:t>
      </w:r>
      <w:r w:rsidR="00BA65DF" w:rsidRPr="00E672B8">
        <w:t>Biochemistry</w:t>
      </w:r>
      <w:r w:rsidR="00701530" w:rsidRPr="00E672B8">
        <w:t xml:space="preserve">, </w:t>
      </w:r>
      <w:r>
        <w:t>Elbistan State Hospital, Kahramanmaraş</w:t>
      </w:r>
      <w:r w:rsidR="00701530" w:rsidRPr="00E672B8">
        <w:t>, Turkey</w:t>
      </w:r>
    </w:p>
    <w:p w:rsidR="00701530" w:rsidRDefault="00722162" w:rsidP="00701530">
      <w:pPr>
        <w:spacing w:line="480" w:lineRule="auto"/>
        <w:jc w:val="both"/>
      </w:pPr>
      <w:r>
        <w:rPr>
          <w:vertAlign w:val="superscript"/>
        </w:rPr>
        <w:t>2</w:t>
      </w:r>
      <w:r w:rsidR="00701530">
        <w:t xml:space="preserve">Department of Medical </w:t>
      </w:r>
      <w:r w:rsidR="00701530" w:rsidRPr="00E672B8">
        <w:t>Biochemistry,</w:t>
      </w:r>
      <w:r w:rsidR="00701530">
        <w:t xml:space="preserve"> </w:t>
      </w:r>
      <w:r w:rsidR="007B3533">
        <w:t xml:space="preserve">School of Medicine, Abant İzzet Baysal University, </w:t>
      </w:r>
      <w:proofErr w:type="gramStart"/>
      <w:r w:rsidR="007B3533">
        <w:t>Bolu,</w:t>
      </w:r>
      <w:r w:rsidR="00701530">
        <w:t>Turkey</w:t>
      </w:r>
      <w:proofErr w:type="gramEnd"/>
    </w:p>
    <w:p w:rsidR="0003077D" w:rsidRDefault="0003077D" w:rsidP="0003077D">
      <w:pPr>
        <w:spacing w:line="480" w:lineRule="auto"/>
        <w:jc w:val="both"/>
      </w:pPr>
      <w:r>
        <w:rPr>
          <w:vertAlign w:val="superscript"/>
        </w:rPr>
        <w:t xml:space="preserve">3 </w:t>
      </w:r>
      <w:r>
        <w:t xml:space="preserve">Department of Medical </w:t>
      </w:r>
      <w:r w:rsidRPr="00E672B8">
        <w:t>Biochemistry,</w:t>
      </w:r>
      <w:r>
        <w:t xml:space="preserve"> İstanbul Education and Research Hospital, İstanbul, Turkey</w:t>
      </w:r>
    </w:p>
    <w:p w:rsidR="0003077D" w:rsidRPr="0003077D" w:rsidRDefault="0003077D" w:rsidP="00701530">
      <w:pPr>
        <w:spacing w:line="480" w:lineRule="auto"/>
        <w:jc w:val="both"/>
        <w:rPr>
          <w:vertAlign w:val="subscript"/>
        </w:rPr>
      </w:pPr>
    </w:p>
    <w:p w:rsidR="0003077D" w:rsidRDefault="0003077D" w:rsidP="00701530">
      <w:pPr>
        <w:spacing w:line="480" w:lineRule="auto"/>
        <w:jc w:val="both"/>
      </w:pPr>
    </w:p>
    <w:p w:rsidR="00D67FD2" w:rsidRPr="00E672B8" w:rsidRDefault="00D67FD2" w:rsidP="00D67FD2">
      <w:pPr>
        <w:spacing w:line="480" w:lineRule="auto"/>
        <w:jc w:val="both"/>
      </w:pPr>
    </w:p>
    <w:p w:rsidR="00D67FD2" w:rsidRPr="00E672B8" w:rsidRDefault="00D67FD2" w:rsidP="00701530">
      <w:pPr>
        <w:spacing w:line="480" w:lineRule="auto"/>
        <w:jc w:val="both"/>
      </w:pPr>
    </w:p>
    <w:p w:rsidR="00701530" w:rsidRPr="00E672B8" w:rsidRDefault="00701530" w:rsidP="00701530">
      <w:pPr>
        <w:numPr>
          <w:ilvl w:val="0"/>
          <w:numId w:val="12"/>
        </w:numPr>
        <w:spacing w:line="480" w:lineRule="auto"/>
        <w:jc w:val="both"/>
      </w:pPr>
      <w:r w:rsidRPr="00E672B8">
        <w:t>Correspondence Address</w:t>
      </w:r>
    </w:p>
    <w:p w:rsidR="00701530" w:rsidRPr="00E672B8" w:rsidRDefault="00701530" w:rsidP="00701530">
      <w:pPr>
        <w:spacing w:line="480" w:lineRule="auto"/>
        <w:jc w:val="both"/>
      </w:pPr>
      <w:proofErr w:type="gramStart"/>
      <w:r w:rsidRPr="00E672B8">
        <w:t>Assoc.Prof.</w:t>
      </w:r>
      <w:proofErr w:type="gramEnd"/>
      <w:r w:rsidRPr="00E672B8">
        <w:t xml:space="preserve"> Guler BUGDAYCI</w:t>
      </w:r>
    </w:p>
    <w:p w:rsidR="00701530" w:rsidRPr="00E672B8" w:rsidRDefault="00701530" w:rsidP="00701530">
      <w:pPr>
        <w:spacing w:line="480" w:lineRule="auto"/>
        <w:jc w:val="both"/>
      </w:pPr>
      <w:r w:rsidRPr="00E672B8">
        <w:t>Department of Biochemistry</w:t>
      </w:r>
    </w:p>
    <w:p w:rsidR="00701530" w:rsidRPr="00E672B8" w:rsidRDefault="007B3533" w:rsidP="00701530">
      <w:pPr>
        <w:spacing w:line="480" w:lineRule="auto"/>
        <w:jc w:val="both"/>
      </w:pPr>
      <w:r>
        <w:t>School of Medicine</w:t>
      </w:r>
    </w:p>
    <w:p w:rsidR="00701530" w:rsidRPr="00E672B8" w:rsidRDefault="00701530" w:rsidP="00701530">
      <w:pPr>
        <w:spacing w:line="480" w:lineRule="auto"/>
        <w:jc w:val="both"/>
      </w:pPr>
      <w:r w:rsidRPr="00E672B8">
        <w:t>Abant Izzet Baysal University</w:t>
      </w:r>
    </w:p>
    <w:p w:rsidR="00701530" w:rsidRPr="00E672B8" w:rsidRDefault="00701530" w:rsidP="00701530">
      <w:pPr>
        <w:spacing w:line="480" w:lineRule="auto"/>
        <w:jc w:val="both"/>
      </w:pPr>
      <w:r w:rsidRPr="00E672B8">
        <w:t>14280 BOLU</w:t>
      </w:r>
    </w:p>
    <w:p w:rsidR="00701530" w:rsidRPr="00E672B8" w:rsidRDefault="00BA65DF" w:rsidP="00701530">
      <w:pPr>
        <w:spacing w:line="480" w:lineRule="auto"/>
        <w:jc w:val="both"/>
      </w:pPr>
      <w:r>
        <w:t>Tel: +90374 253 46 56 -3064</w:t>
      </w:r>
    </w:p>
    <w:p w:rsidR="00701530" w:rsidRDefault="00701530" w:rsidP="00701530">
      <w:pPr>
        <w:spacing w:line="480" w:lineRule="auto"/>
        <w:jc w:val="both"/>
      </w:pPr>
      <w:r w:rsidRPr="00E672B8">
        <w:lastRenderedPageBreak/>
        <w:t>Fax: +90372 253 46 15</w:t>
      </w:r>
    </w:p>
    <w:p w:rsidR="00701530" w:rsidRDefault="00B637B4" w:rsidP="00701530">
      <w:pPr>
        <w:spacing w:line="480" w:lineRule="auto"/>
        <w:jc w:val="both"/>
      </w:pPr>
      <w:hyperlink r:id="rId8" w:history="1">
        <w:r w:rsidR="00722162" w:rsidRPr="005F0A33">
          <w:rPr>
            <w:rStyle w:val="Kpr"/>
          </w:rPr>
          <w:t>gbugdayci@gmail.com</w:t>
        </w:r>
      </w:hyperlink>
    </w:p>
    <w:p w:rsidR="00722162" w:rsidRDefault="00B637B4" w:rsidP="00701530">
      <w:pPr>
        <w:spacing w:line="480" w:lineRule="auto"/>
        <w:jc w:val="both"/>
      </w:pPr>
      <w:hyperlink r:id="rId9" w:history="1">
        <w:r w:rsidR="00722162" w:rsidRPr="005F0A33">
          <w:rPr>
            <w:rStyle w:val="Kpr"/>
          </w:rPr>
          <w:t>gbugdayci@ibu.edu.tr</w:t>
        </w:r>
      </w:hyperlink>
    </w:p>
    <w:p w:rsidR="00722162" w:rsidRDefault="00722162" w:rsidP="00701530">
      <w:pPr>
        <w:spacing w:line="480" w:lineRule="auto"/>
        <w:jc w:val="both"/>
      </w:pPr>
    </w:p>
    <w:p w:rsidR="00701530" w:rsidRPr="00E672B8" w:rsidRDefault="00701530" w:rsidP="00701530">
      <w:pPr>
        <w:spacing w:line="480" w:lineRule="auto"/>
        <w:jc w:val="both"/>
      </w:pPr>
    </w:p>
    <w:p w:rsidR="00701530" w:rsidRPr="00E672B8" w:rsidRDefault="00701530" w:rsidP="00701530">
      <w:pPr>
        <w:spacing w:line="480" w:lineRule="auto"/>
        <w:jc w:val="both"/>
      </w:pPr>
    </w:p>
    <w:p w:rsidR="00701530" w:rsidRPr="007147DA" w:rsidRDefault="003C50A9" w:rsidP="00701530">
      <w:pPr>
        <w:spacing w:line="480" w:lineRule="auto"/>
        <w:jc w:val="both"/>
        <w:rPr>
          <w:b/>
        </w:rPr>
      </w:pPr>
      <w:r w:rsidRPr="007147DA">
        <w:rPr>
          <w:b/>
        </w:rPr>
        <w:t>OBEZ KADINLARDA PARAOKSANAZ 1 AKTİVİTESİNİN LİPİD METABOLİZMASI İLE İLİŞKİSİ</w:t>
      </w:r>
    </w:p>
    <w:p w:rsidR="003C50A9" w:rsidRDefault="007147DA" w:rsidP="00701530">
      <w:pPr>
        <w:spacing w:line="480" w:lineRule="auto"/>
        <w:jc w:val="both"/>
      </w:pPr>
      <w:r w:rsidRPr="007147DA">
        <w:rPr>
          <w:b/>
        </w:rPr>
        <w:t>Giriş:</w:t>
      </w:r>
      <w:r>
        <w:t xml:space="preserve"> </w:t>
      </w:r>
      <w:r w:rsidR="003C50A9">
        <w:t>Obesite, Tip 2 Diabetes Mellitus, kardiyovasküler hastalık ve kanser riskini artıran, dünya</w:t>
      </w:r>
      <w:r w:rsidR="00B637B4">
        <w:t xml:space="preserve"> genelinde önemi giderek artan ciddi bi</w:t>
      </w:r>
      <w:r w:rsidR="003C50A9">
        <w:t>r hastalıktır.</w:t>
      </w:r>
    </w:p>
    <w:p w:rsidR="003C50A9" w:rsidRDefault="003C50A9" w:rsidP="00701530">
      <w:pPr>
        <w:spacing w:line="480" w:lineRule="auto"/>
        <w:jc w:val="both"/>
      </w:pPr>
      <w:r w:rsidRPr="007147DA">
        <w:rPr>
          <w:b/>
        </w:rPr>
        <w:t>Amaç:</w:t>
      </w:r>
      <w:r>
        <w:t xml:space="preserve"> Bu çaşılmanın amacı serum lipidleri, Apolipoprotein A-I (  Apo A-I), Apolipioprotein B ( Apo B), Paraoksanaz 1 (PON 1) aktivitesinin kadınlarda obesiteye etkilerini </w:t>
      </w:r>
      <w:r w:rsidR="007147DA">
        <w:t xml:space="preserve">saptamaktır. </w:t>
      </w:r>
      <w:r w:rsidR="007147DA" w:rsidRPr="007147DA">
        <w:rPr>
          <w:b/>
        </w:rPr>
        <w:t>Yöntem ve Gereçler:</w:t>
      </w:r>
      <w:r w:rsidR="007147DA">
        <w:t xml:space="preserve"> </w:t>
      </w:r>
      <w:r>
        <w:t xml:space="preserve">Çalışmaya toplam 90 kadından oluşan, yaşları 18-48 yaş arası değişen, 30 abdominal obez ( Grup I), 30 jinoid obez ( Grup II), 30 sağlıklı kontrol ( Grup III) olmak üzere üç grup </w:t>
      </w:r>
      <w:proofErr w:type="gramStart"/>
      <w:r>
        <w:t>dahil</w:t>
      </w:r>
      <w:proofErr w:type="gramEnd"/>
      <w:r>
        <w:t xml:space="preserve"> edildi. </w:t>
      </w:r>
    </w:p>
    <w:p w:rsidR="007147DA" w:rsidRDefault="007147DA" w:rsidP="003C50A9">
      <w:pPr>
        <w:spacing w:line="480" w:lineRule="auto"/>
        <w:jc w:val="both"/>
      </w:pPr>
      <w:r>
        <w:rPr>
          <w:b/>
        </w:rPr>
        <w:t>Bulgular</w:t>
      </w:r>
      <w:r w:rsidR="003C50A9" w:rsidRPr="007147DA">
        <w:rPr>
          <w:b/>
        </w:rPr>
        <w:t>:</w:t>
      </w:r>
      <w:r w:rsidR="003C50A9" w:rsidRPr="003C50A9">
        <w:t xml:space="preserve"> </w:t>
      </w:r>
      <w:r>
        <w:t xml:space="preserve">HDL-K, Apo B, D-LDL-K, hsCRP, HOMA-IR testlerinde, </w:t>
      </w:r>
      <w:r w:rsidR="003C50A9">
        <w:t>Grup I ve II arasında</w:t>
      </w:r>
      <w:r>
        <w:t xml:space="preserve"> istatistiksel anlamlı fark saptandı</w:t>
      </w:r>
      <w:r w:rsidR="003C50A9" w:rsidRPr="00E672B8">
        <w:t xml:space="preserve"> (p=0.001, p=0.000, p=0.016, p=0.001</w:t>
      </w:r>
      <w:r>
        <w:t>, p=0.000, p=0.000, sırasıyla). HDL-K, D-LDL-K</w:t>
      </w:r>
      <w:r w:rsidR="003C50A9" w:rsidRPr="00E672B8">
        <w:t xml:space="preserve">, hsCRP and HOMA-IR </w:t>
      </w:r>
      <w:r>
        <w:t xml:space="preserve">testlerinde Grup I ve III arasında anlamlı fark saptandı </w:t>
      </w:r>
      <w:r w:rsidR="003C50A9" w:rsidRPr="00E672B8">
        <w:t xml:space="preserve">(p=0.023, p=0.023, p=0.000, p=0.001, </w:t>
      </w:r>
      <w:r>
        <w:t>respectively). TG, Apo B, HDL-K</w:t>
      </w:r>
      <w:r w:rsidR="003C50A9" w:rsidRPr="00E672B8">
        <w:t>, D-</w:t>
      </w:r>
      <w:r>
        <w:t xml:space="preserve">LDL-K parametrelerinde abdominal obesitede belirgin olmak üzere fark saptanırken, PON 1 düzeylerinde gruplar arası fark olmadığı ortaya kondu. </w:t>
      </w:r>
    </w:p>
    <w:p w:rsidR="003C50A9" w:rsidRPr="00E672B8" w:rsidRDefault="007147DA" w:rsidP="007147DA">
      <w:pPr>
        <w:spacing w:line="480" w:lineRule="auto"/>
        <w:jc w:val="both"/>
      </w:pPr>
      <w:r w:rsidRPr="007147DA">
        <w:rPr>
          <w:b/>
        </w:rPr>
        <w:t>Sonuçlar;</w:t>
      </w:r>
      <w:r>
        <w:t xml:space="preserve"> Sonuçlarımız obesite de lipid metabolizmasının değiştiğini gösterirken, PON1 aktivitesinde değişiklik olmadığını ortaya koymuştur.</w:t>
      </w:r>
      <w:r w:rsidR="003C50A9" w:rsidRPr="00E672B8">
        <w:t xml:space="preserve"> </w:t>
      </w:r>
    </w:p>
    <w:p w:rsidR="003C50A9" w:rsidRPr="00E672B8" w:rsidRDefault="007147DA" w:rsidP="003C50A9">
      <w:pPr>
        <w:spacing w:line="480" w:lineRule="auto"/>
        <w:ind w:firstLine="708"/>
        <w:jc w:val="both"/>
      </w:pPr>
      <w:r>
        <w:t xml:space="preserve">Anahtar </w:t>
      </w:r>
      <w:proofErr w:type="gramStart"/>
      <w:r>
        <w:t xml:space="preserve">Kelimeler </w:t>
      </w:r>
      <w:r w:rsidR="003C50A9" w:rsidRPr="00E672B8">
        <w:t>:</w:t>
      </w:r>
      <w:r w:rsidR="003C50A9" w:rsidRPr="00E672B8">
        <w:rPr>
          <w:bCs/>
        </w:rPr>
        <w:t xml:space="preserve"> </w:t>
      </w:r>
      <w:r>
        <w:rPr>
          <w:i/>
        </w:rPr>
        <w:t>Lipid</w:t>
      </w:r>
      <w:proofErr w:type="gramEnd"/>
      <w:r>
        <w:rPr>
          <w:i/>
        </w:rPr>
        <w:t xml:space="preserve"> Metabolizması; Obesite; Paraoksonaz</w:t>
      </w:r>
      <w:r w:rsidR="003C50A9" w:rsidRPr="00E672B8">
        <w:rPr>
          <w:i/>
        </w:rPr>
        <w:t xml:space="preserve"> 1</w:t>
      </w:r>
    </w:p>
    <w:p w:rsidR="003C50A9" w:rsidRPr="00E672B8" w:rsidRDefault="003C50A9" w:rsidP="00701530">
      <w:pPr>
        <w:spacing w:line="480" w:lineRule="auto"/>
        <w:jc w:val="both"/>
      </w:pPr>
    </w:p>
    <w:p w:rsidR="00701530" w:rsidRDefault="00701530" w:rsidP="00701530">
      <w:pPr>
        <w:spacing w:line="480" w:lineRule="auto"/>
        <w:jc w:val="center"/>
        <w:rPr>
          <w:b/>
        </w:rPr>
      </w:pPr>
    </w:p>
    <w:p w:rsidR="00701530" w:rsidRPr="00361C34" w:rsidRDefault="00701530" w:rsidP="00701530">
      <w:pPr>
        <w:spacing w:line="480" w:lineRule="auto"/>
        <w:jc w:val="center"/>
        <w:rPr>
          <w:b/>
        </w:rPr>
      </w:pPr>
      <w:r w:rsidRPr="00361C34">
        <w:rPr>
          <w:b/>
        </w:rPr>
        <w:t xml:space="preserve">IN OBESE WOMEN THE </w:t>
      </w:r>
      <w:r w:rsidR="003C50A9">
        <w:rPr>
          <w:b/>
        </w:rPr>
        <w:t>RELATIONSHIP OF PARAOXONASE 1</w:t>
      </w:r>
      <w:r w:rsidRPr="00361C34">
        <w:rPr>
          <w:b/>
        </w:rPr>
        <w:t xml:space="preserve"> ACTIVITY WITH LIPID METABOLISM</w:t>
      </w:r>
    </w:p>
    <w:p w:rsidR="00701530" w:rsidRPr="00361C34" w:rsidRDefault="00701530" w:rsidP="00701530">
      <w:pPr>
        <w:spacing w:line="480" w:lineRule="auto"/>
        <w:jc w:val="both"/>
        <w:rPr>
          <w:b/>
        </w:rPr>
      </w:pPr>
      <w:r w:rsidRPr="00361C34">
        <w:rPr>
          <w:b/>
        </w:rPr>
        <w:t>Summary</w:t>
      </w:r>
    </w:p>
    <w:p w:rsidR="00701530" w:rsidRPr="00E672B8" w:rsidRDefault="00701530" w:rsidP="00701530">
      <w:pPr>
        <w:spacing w:line="480" w:lineRule="auto"/>
        <w:jc w:val="both"/>
      </w:pPr>
      <w:r w:rsidRPr="00316504">
        <w:rPr>
          <w:b/>
        </w:rPr>
        <w:t>Bacground:</w:t>
      </w:r>
      <w:r>
        <w:t xml:space="preserve"> </w:t>
      </w:r>
      <w:r w:rsidRPr="00E672B8">
        <w:t xml:space="preserve">Obesity is a serious disease with increasing importance all around the world; it increases the risk for Type 2 Diabetes Mellitus, cardiovascular diseases and cancer. </w:t>
      </w:r>
    </w:p>
    <w:p w:rsidR="00701530" w:rsidRPr="00E672B8" w:rsidRDefault="00701530" w:rsidP="00701530">
      <w:pPr>
        <w:spacing w:line="480" w:lineRule="auto"/>
        <w:jc w:val="both"/>
      </w:pPr>
      <w:r>
        <w:t xml:space="preserve">Purpose: </w:t>
      </w:r>
      <w:r w:rsidRPr="00E672B8">
        <w:t xml:space="preserve"> The aim of this study was to identify the effects of serum lipids, Apolipoprotein A-I (Apo A-I), Apolipopro</w:t>
      </w:r>
      <w:r>
        <w:t>tein B (Apo B) and Paraoxanase/Arylesterase</w:t>
      </w:r>
      <w:r w:rsidRPr="00E672B8">
        <w:t xml:space="preserve"> (PON1) activity on obesity in women. </w:t>
      </w:r>
    </w:p>
    <w:p w:rsidR="00701530" w:rsidRPr="00E672B8" w:rsidRDefault="00701530" w:rsidP="00701530">
      <w:pPr>
        <w:spacing w:line="480" w:lineRule="auto"/>
        <w:jc w:val="both"/>
      </w:pPr>
      <w:r w:rsidRPr="00316504">
        <w:rPr>
          <w:b/>
        </w:rPr>
        <w:t>Material and Methods</w:t>
      </w:r>
      <w:r w:rsidR="00316504">
        <w:t>:</w:t>
      </w:r>
      <w:r w:rsidRPr="00E672B8">
        <w:t xml:space="preserve"> The study was conducted on 90 subjects categorized into three groups, there were 30 women in each group with an age range of 18-48 years. Group I had 30 abdominal obese patients, Group II had 30 gynoid obeses and Group III included 30 healthy control subjects. </w:t>
      </w:r>
    </w:p>
    <w:p w:rsidR="00701530" w:rsidRPr="00E672B8" w:rsidRDefault="00701530" w:rsidP="00701530">
      <w:pPr>
        <w:spacing w:line="480" w:lineRule="auto"/>
        <w:jc w:val="both"/>
      </w:pPr>
      <w:r w:rsidRPr="00316504">
        <w:rPr>
          <w:b/>
        </w:rPr>
        <w:t>Results</w:t>
      </w:r>
      <w:r w:rsidR="00316504">
        <w:rPr>
          <w:b/>
        </w:rPr>
        <w:t xml:space="preserve">: </w:t>
      </w:r>
      <w:r w:rsidRPr="00E672B8">
        <w:t xml:space="preserve">There was a statistically significant difference between the triglyceride, HDL-C, Apo B, D-LDL-C, hsCRP, HOMA-IR levels of Group I and II (p=0.001, p=0.000, p=0.016, p=0.001, p=0.000, p=0.000, respectively). For HDL-C, D-LDL-C, hsCRP and HOMA-IR levels, there were statistically significant differences between Group I and III   (p=0.023, p=0.023, p=0.000, p=0.001, respectively). TG, Apo B, HDL-C, D-LDL-C parameters differed significantly in abdominal obesity, whereas there was no difference among the groups </w:t>
      </w:r>
      <w:proofErr w:type="gramStart"/>
      <w:r w:rsidRPr="00E672B8">
        <w:t>for  PON1</w:t>
      </w:r>
      <w:proofErr w:type="gramEnd"/>
      <w:r w:rsidRPr="00E672B8">
        <w:t xml:space="preserve"> activity. </w:t>
      </w:r>
    </w:p>
    <w:p w:rsidR="00701530" w:rsidRPr="00E672B8" w:rsidRDefault="00701530" w:rsidP="00701530">
      <w:pPr>
        <w:spacing w:line="480" w:lineRule="auto"/>
        <w:jc w:val="both"/>
      </w:pPr>
      <w:r w:rsidRPr="00316504">
        <w:rPr>
          <w:b/>
        </w:rPr>
        <w:t>Conclusion</w:t>
      </w:r>
      <w:r w:rsidR="00316504">
        <w:rPr>
          <w:b/>
        </w:rPr>
        <w:t>:</w:t>
      </w:r>
      <w:r w:rsidRPr="00D44201">
        <w:t xml:space="preserve"> Our results indicate that lipid metabolism is altered in o</w:t>
      </w:r>
      <w:r>
        <w:t>besity, but PON1 activity appears</w:t>
      </w:r>
      <w:r w:rsidRPr="00D44201">
        <w:t xml:space="preserve"> not to be affected. </w:t>
      </w:r>
    </w:p>
    <w:p w:rsidR="00701530" w:rsidRPr="00E672B8" w:rsidRDefault="00701530" w:rsidP="00701530">
      <w:pPr>
        <w:spacing w:line="480" w:lineRule="auto"/>
        <w:ind w:firstLine="708"/>
        <w:jc w:val="both"/>
      </w:pPr>
      <w:r w:rsidRPr="00E672B8">
        <w:t>Key words:</w:t>
      </w:r>
      <w:r w:rsidRPr="00E672B8">
        <w:rPr>
          <w:bCs/>
        </w:rPr>
        <w:t xml:space="preserve"> </w:t>
      </w:r>
      <w:r w:rsidR="00B637B4">
        <w:rPr>
          <w:i/>
        </w:rPr>
        <w:t>Lipid Metabolis</w:t>
      </w:r>
      <w:r w:rsidRPr="00E672B8">
        <w:rPr>
          <w:i/>
        </w:rPr>
        <w:t>m; Obesity; Paraoxonase 1</w:t>
      </w:r>
    </w:p>
    <w:p w:rsidR="00701530" w:rsidRDefault="00701530" w:rsidP="00701530">
      <w:pPr>
        <w:spacing w:line="480" w:lineRule="auto"/>
        <w:jc w:val="center"/>
        <w:rPr>
          <w:b/>
        </w:rPr>
      </w:pPr>
    </w:p>
    <w:p w:rsidR="00701530" w:rsidRPr="000E5CE9" w:rsidRDefault="00701530" w:rsidP="00701530">
      <w:pPr>
        <w:spacing w:line="480" w:lineRule="auto"/>
        <w:jc w:val="both"/>
        <w:rPr>
          <w:b/>
        </w:rPr>
      </w:pPr>
    </w:p>
    <w:p w:rsidR="00361C34" w:rsidRDefault="00361C34" w:rsidP="00E0580C">
      <w:pPr>
        <w:tabs>
          <w:tab w:val="left" w:pos="1920"/>
        </w:tabs>
        <w:spacing w:line="480" w:lineRule="auto"/>
        <w:jc w:val="both"/>
        <w:rPr>
          <w:b/>
          <w:bCs/>
          <w:sz w:val="28"/>
          <w:szCs w:val="28"/>
        </w:rPr>
      </w:pPr>
    </w:p>
    <w:p w:rsidR="008E7A42" w:rsidRPr="001D7BB5" w:rsidRDefault="001D7BB5" w:rsidP="00E0580C">
      <w:pPr>
        <w:tabs>
          <w:tab w:val="left" w:pos="1920"/>
        </w:tabs>
        <w:spacing w:line="480" w:lineRule="auto"/>
        <w:jc w:val="both"/>
        <w:rPr>
          <w:b/>
          <w:bCs/>
          <w:sz w:val="28"/>
          <w:szCs w:val="28"/>
        </w:rPr>
      </w:pPr>
      <w:r w:rsidRPr="001D7BB5">
        <w:rPr>
          <w:b/>
          <w:bCs/>
          <w:sz w:val="28"/>
          <w:szCs w:val="28"/>
        </w:rPr>
        <w:lastRenderedPageBreak/>
        <w:t>Introduction</w:t>
      </w:r>
    </w:p>
    <w:p w:rsidR="006211F7" w:rsidRPr="00E672B8" w:rsidRDefault="00D07E02" w:rsidP="007361AB">
      <w:pPr>
        <w:spacing w:line="480" w:lineRule="auto"/>
        <w:jc w:val="both"/>
        <w:rPr>
          <w:bCs/>
        </w:rPr>
      </w:pPr>
      <w:r w:rsidRPr="00E672B8">
        <w:rPr>
          <w:bCs/>
        </w:rPr>
        <w:tab/>
      </w:r>
      <w:r w:rsidR="00945611" w:rsidRPr="00E672B8">
        <w:rPr>
          <w:bCs/>
        </w:rPr>
        <w:t xml:space="preserve">Increasing prevalence of obesity </w:t>
      </w:r>
      <w:r w:rsidR="00ED2B36" w:rsidRPr="00E672B8">
        <w:rPr>
          <w:bCs/>
        </w:rPr>
        <w:t xml:space="preserve">all </w:t>
      </w:r>
      <w:r w:rsidR="00945611" w:rsidRPr="00E672B8">
        <w:rPr>
          <w:bCs/>
        </w:rPr>
        <w:t>a</w:t>
      </w:r>
      <w:r w:rsidR="00ED2B36" w:rsidRPr="00E672B8">
        <w:rPr>
          <w:bCs/>
        </w:rPr>
        <w:t>r</w:t>
      </w:r>
      <w:r w:rsidR="00945611" w:rsidRPr="00E672B8">
        <w:rPr>
          <w:bCs/>
        </w:rPr>
        <w:t>ound the world causes grea</w:t>
      </w:r>
      <w:r w:rsidR="00ED2B36" w:rsidRPr="00E672B8">
        <w:rPr>
          <w:bCs/>
        </w:rPr>
        <w:t>t concerns both for individual</w:t>
      </w:r>
      <w:r w:rsidR="00945611" w:rsidRPr="00E672B8">
        <w:rPr>
          <w:bCs/>
        </w:rPr>
        <w:t xml:space="preserve"> health and for the national health prevention systems </w:t>
      </w:r>
      <w:r w:rsidR="00150004">
        <w:rPr>
          <w:bCs/>
        </w:rPr>
        <w:t>(1)</w:t>
      </w:r>
      <w:r w:rsidR="00B60D12" w:rsidRPr="00E672B8">
        <w:rPr>
          <w:bCs/>
        </w:rPr>
        <w:t>.</w:t>
      </w:r>
      <w:r w:rsidR="00A36D1F" w:rsidRPr="00E672B8">
        <w:rPr>
          <w:bCs/>
        </w:rPr>
        <w:t xml:space="preserve"> </w:t>
      </w:r>
      <w:r w:rsidR="00945611" w:rsidRPr="00E672B8">
        <w:rPr>
          <w:bCs/>
        </w:rPr>
        <w:t xml:space="preserve">Obesity has been shown to predispose individuals to several chronic diseases like atherosclerosis, arterial hypertension </w:t>
      </w:r>
      <w:r w:rsidR="0043048C" w:rsidRPr="00E672B8">
        <w:t xml:space="preserve">(HT), </w:t>
      </w:r>
      <w:r w:rsidR="00945611" w:rsidRPr="00E672B8">
        <w:t>glomerulopathies that go together with proteinu</w:t>
      </w:r>
      <w:r w:rsidR="006211F7" w:rsidRPr="00E672B8">
        <w:t>ri</w:t>
      </w:r>
      <w:r w:rsidR="00945611" w:rsidRPr="00E672B8">
        <w:t>a</w:t>
      </w:r>
      <w:r w:rsidR="006211F7" w:rsidRPr="00E672B8">
        <w:t>, di</w:t>
      </w:r>
      <w:r w:rsidR="00945611" w:rsidRPr="00E672B8">
        <w:t>abetes mellitus (DM) and</w:t>
      </w:r>
      <w:r w:rsidR="006211F7" w:rsidRPr="00E672B8">
        <w:t xml:space="preserve"> osteoart</w:t>
      </w:r>
      <w:r w:rsidR="00945611" w:rsidRPr="00E672B8">
        <w:t>h</w:t>
      </w:r>
      <w:r w:rsidR="006211F7" w:rsidRPr="00E672B8">
        <w:t>rit</w:t>
      </w:r>
      <w:r w:rsidR="00945611" w:rsidRPr="00E672B8">
        <w:t>is</w:t>
      </w:r>
      <w:r w:rsidR="002D6E24" w:rsidRPr="00E672B8">
        <w:t xml:space="preserve"> </w:t>
      </w:r>
      <w:r w:rsidR="00150004">
        <w:rPr>
          <w:bCs/>
        </w:rPr>
        <w:t>(2).</w:t>
      </w:r>
      <w:r w:rsidR="00AF27DB" w:rsidRPr="00E672B8">
        <w:rPr>
          <w:bCs/>
        </w:rPr>
        <w:t xml:space="preserve"> </w:t>
      </w:r>
    </w:p>
    <w:p w:rsidR="00435AF5" w:rsidRPr="00E672B8" w:rsidRDefault="00F1150E" w:rsidP="00E0580C">
      <w:pPr>
        <w:autoSpaceDE w:val="0"/>
        <w:autoSpaceDN w:val="0"/>
        <w:adjustRightInd w:val="0"/>
        <w:spacing w:line="480" w:lineRule="auto"/>
        <w:jc w:val="both"/>
      </w:pPr>
      <w:r w:rsidRPr="00E672B8">
        <w:tab/>
      </w:r>
      <w:r w:rsidR="00945611" w:rsidRPr="00E672B8">
        <w:t>In obese patiens</w:t>
      </w:r>
      <w:r w:rsidR="00513F63" w:rsidRPr="00E672B8">
        <w:t>,</w:t>
      </w:r>
      <w:r w:rsidR="00945611" w:rsidRPr="00E672B8">
        <w:t xml:space="preserve"> changes have been demonstrated in lipid levels and lipoprotein metabolism </w:t>
      </w:r>
      <w:r w:rsidR="00150004">
        <w:rPr>
          <w:bCs/>
        </w:rPr>
        <w:t>(3)</w:t>
      </w:r>
      <w:r w:rsidR="00AF27DB" w:rsidRPr="00E672B8">
        <w:rPr>
          <w:bCs/>
        </w:rPr>
        <w:t xml:space="preserve">. </w:t>
      </w:r>
      <w:r w:rsidRPr="00E672B8">
        <w:t xml:space="preserve"> </w:t>
      </w:r>
      <w:r w:rsidR="00945611" w:rsidRPr="00E672B8">
        <w:t xml:space="preserve">Changes in the levels and components of lipoproteins are thought to </w:t>
      </w:r>
      <w:r w:rsidR="00ED2B36" w:rsidRPr="00E672B8">
        <w:t>be in relation with the generation</w:t>
      </w:r>
      <w:r w:rsidR="00945611" w:rsidRPr="00E672B8">
        <w:t xml:space="preserve"> of cardiovascular disease (CVD) risk that accompanies obesity</w:t>
      </w:r>
      <w:r w:rsidR="00F12054" w:rsidRPr="00E672B8">
        <w:t xml:space="preserve">. </w:t>
      </w:r>
      <w:r w:rsidR="00945611" w:rsidRPr="00E672B8">
        <w:t>Obese patients experience increased oxidative stress</w:t>
      </w:r>
      <w:r w:rsidR="00F12054" w:rsidRPr="00E672B8">
        <w:t>.</w:t>
      </w:r>
      <w:r w:rsidR="007A0019" w:rsidRPr="00E672B8">
        <w:t xml:space="preserve"> </w:t>
      </w:r>
      <w:r w:rsidR="00ED2B36" w:rsidRPr="00E672B8">
        <w:t>When obese patients we</w:t>
      </w:r>
      <w:r w:rsidR="00945611" w:rsidRPr="00E672B8">
        <w:t xml:space="preserve">re compared to healthy individuals, low density lipoprotein cholesterol </w:t>
      </w:r>
      <w:r w:rsidR="00355659" w:rsidRPr="00E672B8">
        <w:t>(</w:t>
      </w:r>
      <w:r w:rsidR="00945611" w:rsidRPr="00E672B8">
        <w:t>LDL-C</w:t>
      </w:r>
      <w:r w:rsidR="00355659" w:rsidRPr="00E672B8">
        <w:t>)</w:t>
      </w:r>
      <w:r w:rsidR="00E4527C" w:rsidRPr="00E672B8">
        <w:t xml:space="preserve"> </w:t>
      </w:r>
      <w:r w:rsidR="00ED2B36" w:rsidRPr="00E672B8">
        <w:t>was</w:t>
      </w:r>
      <w:r w:rsidR="00945611" w:rsidRPr="00E672B8">
        <w:t xml:space="preserve"> shown to have undergone lipid peroxidation</w:t>
      </w:r>
      <w:r w:rsidR="00E4527C" w:rsidRPr="00E672B8">
        <w:t>.</w:t>
      </w:r>
      <w:r w:rsidR="00CF2B7D" w:rsidRPr="00E672B8">
        <w:t xml:space="preserve"> </w:t>
      </w:r>
      <w:r w:rsidR="00945611" w:rsidRPr="00E672B8">
        <w:t xml:space="preserve">Increases in oxidative damage could be related to the decreases in the antioxidant defense. </w:t>
      </w:r>
      <w:r w:rsidR="00477F03" w:rsidRPr="00E672B8">
        <w:t>There is strong evidence in support of the fact that oxidative stress, resulting from metabolic changes secondary to insulin resistance, contributes to the complications of obesity</w:t>
      </w:r>
      <w:r w:rsidR="00CF2B7D" w:rsidRPr="00E672B8">
        <w:t>.</w:t>
      </w:r>
      <w:r w:rsidR="00476504" w:rsidRPr="00E672B8">
        <w:t xml:space="preserve"> </w:t>
      </w:r>
      <w:r w:rsidR="00477F03" w:rsidRPr="00E672B8">
        <w:t>The decrease in the activity of PON1, which is an antioxidant enzyme related to high density lipoprotein cholesterol (HDL-C), is found to be in relation with dy</w:t>
      </w:r>
      <w:r w:rsidR="00435AF5" w:rsidRPr="00E672B8">
        <w:t>slipidemi</w:t>
      </w:r>
      <w:r w:rsidR="00477F03" w:rsidRPr="00E672B8">
        <w:t>a</w:t>
      </w:r>
      <w:r w:rsidR="00435AF5" w:rsidRPr="00E672B8">
        <w:t>, d</w:t>
      </w:r>
      <w:r w:rsidR="00352815" w:rsidRPr="00E672B8">
        <w:t xml:space="preserve">iabetes mellitus, </w:t>
      </w:r>
      <w:r w:rsidR="00477F03" w:rsidRPr="00E672B8">
        <w:t xml:space="preserve">advanced age and increased oxidative stress </w:t>
      </w:r>
      <w:r w:rsidR="00150004">
        <w:rPr>
          <w:bCs/>
        </w:rPr>
        <w:t>(4)</w:t>
      </w:r>
      <w:r w:rsidR="00AF27DB" w:rsidRPr="00E672B8">
        <w:rPr>
          <w:bCs/>
        </w:rPr>
        <w:t>.</w:t>
      </w:r>
    </w:p>
    <w:p w:rsidR="004C7696" w:rsidRPr="00E672B8" w:rsidRDefault="00E9542C" w:rsidP="00E0580C">
      <w:pPr>
        <w:autoSpaceDE w:val="0"/>
        <w:autoSpaceDN w:val="0"/>
        <w:adjustRightInd w:val="0"/>
        <w:spacing w:line="480" w:lineRule="auto"/>
        <w:jc w:val="both"/>
      </w:pPr>
      <w:r w:rsidRPr="00E672B8">
        <w:tab/>
      </w:r>
      <w:r w:rsidR="00477F03" w:rsidRPr="00E672B8">
        <w:rPr>
          <w:bCs/>
        </w:rPr>
        <w:t>Paraoxonase</w:t>
      </w:r>
      <w:r w:rsidR="00F650BC">
        <w:rPr>
          <w:bCs/>
        </w:rPr>
        <w:t xml:space="preserve"> /Arylesterase</w:t>
      </w:r>
      <w:r w:rsidR="00477F03" w:rsidRPr="00E672B8">
        <w:rPr>
          <w:bCs/>
        </w:rPr>
        <w:t xml:space="preserve"> (PON1) enzyme</w:t>
      </w:r>
      <w:r w:rsidR="00F650BC">
        <w:rPr>
          <w:bCs/>
        </w:rPr>
        <w:t>s have</w:t>
      </w:r>
      <w:r w:rsidR="00477F03" w:rsidRPr="00E672B8">
        <w:rPr>
          <w:bCs/>
        </w:rPr>
        <w:t xml:space="preserve"> a glycoprotein structure synthesized by </w:t>
      </w:r>
      <w:r w:rsidR="00ED2B36" w:rsidRPr="00E672B8">
        <w:rPr>
          <w:bCs/>
        </w:rPr>
        <w:t xml:space="preserve">the </w:t>
      </w:r>
      <w:r w:rsidR="00477F03" w:rsidRPr="00E672B8">
        <w:rPr>
          <w:bCs/>
        </w:rPr>
        <w:t xml:space="preserve">liver, it hydrolyzes aromatic esters of carboxylic acid and it is an esterase firmly bound to HDL-C. </w:t>
      </w:r>
      <w:r w:rsidRPr="00E672B8">
        <w:rPr>
          <w:bCs/>
        </w:rPr>
        <w:t xml:space="preserve"> </w:t>
      </w:r>
      <w:r w:rsidR="00ED2B36" w:rsidRPr="00E672B8">
        <w:rPr>
          <w:bCs/>
        </w:rPr>
        <w:t>PON1 is an enzyme wit</w:t>
      </w:r>
      <w:r w:rsidR="00477F03" w:rsidRPr="00E672B8">
        <w:rPr>
          <w:bCs/>
        </w:rPr>
        <w:t xml:space="preserve">h important roles in the prevention of atherosclerosis and the detoxification of organophosphates </w:t>
      </w:r>
      <w:r w:rsidR="00150004">
        <w:rPr>
          <w:bCs/>
        </w:rPr>
        <w:t>(5).</w:t>
      </w:r>
      <w:r w:rsidR="00AF27DB" w:rsidRPr="00E672B8">
        <w:rPr>
          <w:bCs/>
        </w:rPr>
        <w:t xml:space="preserve"> </w:t>
      </w:r>
      <w:r w:rsidR="00477F03" w:rsidRPr="00E672B8">
        <w:t>In 1970s, among the scientific circles, toxicologists were the first to focus on the protective effects of PON</w:t>
      </w:r>
      <w:r w:rsidR="00ED2B36" w:rsidRPr="00E672B8">
        <w:t>1</w:t>
      </w:r>
      <w:r w:rsidR="00477F03" w:rsidRPr="00E672B8">
        <w:t xml:space="preserve"> in organopho</w:t>
      </w:r>
      <w:r w:rsidR="00ED2B36" w:rsidRPr="00E672B8">
        <w:t>s</w:t>
      </w:r>
      <w:r w:rsidR="00477F03" w:rsidRPr="00E672B8">
        <w:t>phate po</w:t>
      </w:r>
      <w:r w:rsidR="00ED2B36" w:rsidRPr="00E672B8">
        <w:t>is</w:t>
      </w:r>
      <w:r w:rsidR="00477F03" w:rsidRPr="00E672B8">
        <w:t xml:space="preserve">oning. PON1 is an exyme that accompanies HDL, while it metabolizes lipid hydroperoxides.   The studies performed in this field have demonstrated that PON1, an </w:t>
      </w:r>
      <w:r w:rsidR="009A309B" w:rsidRPr="00E672B8">
        <w:t xml:space="preserve">antioxidant </w:t>
      </w:r>
      <w:r w:rsidR="00477F03" w:rsidRPr="00E672B8">
        <w:t>enzyme found in the structure of</w:t>
      </w:r>
      <w:r w:rsidR="009A309B" w:rsidRPr="00E672B8">
        <w:t xml:space="preserve"> HDL, hydrolyzes lipid peroxides and protects it against the oxidation of LDL-C </w:t>
      </w:r>
      <w:r w:rsidR="00355659" w:rsidRPr="00E672B8">
        <w:lastRenderedPageBreak/>
        <w:t>(</w:t>
      </w:r>
      <w:r w:rsidR="002D6A5A" w:rsidRPr="00E672B8">
        <w:t>dragonov</w:t>
      </w:r>
      <w:r w:rsidR="00F752E7" w:rsidRPr="00E672B8">
        <w:t>)</w:t>
      </w:r>
      <w:r w:rsidR="00355659" w:rsidRPr="00E672B8">
        <w:t>.</w:t>
      </w:r>
      <w:r w:rsidR="00131C46" w:rsidRPr="00E672B8">
        <w:rPr>
          <w:color w:val="231F20"/>
        </w:rPr>
        <w:t xml:space="preserve"> </w:t>
      </w:r>
      <w:r w:rsidR="009A309B" w:rsidRPr="00E672B8">
        <w:rPr>
          <w:color w:val="231F20"/>
        </w:rPr>
        <w:t>PON1 stimulates the flow of cholesterol from macrophages through inhibition of</w:t>
      </w:r>
      <w:r w:rsidR="00D8111F" w:rsidRPr="00E672B8">
        <w:rPr>
          <w:color w:val="231F20"/>
        </w:rPr>
        <w:t xml:space="preserve"> </w:t>
      </w:r>
      <w:r w:rsidR="00355659" w:rsidRPr="00E672B8">
        <w:rPr>
          <w:color w:val="231F20"/>
        </w:rPr>
        <w:t>LDL o</w:t>
      </w:r>
      <w:r w:rsidR="009A309B" w:rsidRPr="00E672B8">
        <w:rPr>
          <w:color w:val="231F20"/>
        </w:rPr>
        <w:t>xidation</w:t>
      </w:r>
      <w:r w:rsidR="00D8111F" w:rsidRPr="00E672B8">
        <w:rPr>
          <w:color w:val="231F20"/>
        </w:rPr>
        <w:t>.</w:t>
      </w:r>
      <w:r w:rsidR="009A309B" w:rsidRPr="00E672B8">
        <w:rPr>
          <w:color w:val="231F20"/>
        </w:rPr>
        <w:t xml:space="preserve"> PON1 is in association with</w:t>
      </w:r>
      <w:r w:rsidR="009B677A" w:rsidRPr="00E672B8">
        <w:rPr>
          <w:color w:val="231F20"/>
        </w:rPr>
        <w:t xml:space="preserve"> </w:t>
      </w:r>
      <w:r w:rsidR="009A309B" w:rsidRPr="00E672B8">
        <w:rPr>
          <w:color w:val="231F20"/>
        </w:rPr>
        <w:t xml:space="preserve">Apolipoprotein A-I (Apo A-I) and Apolipoprotein J (Apo J) proteins of </w:t>
      </w:r>
      <w:r w:rsidR="009B677A" w:rsidRPr="00E672B8">
        <w:rPr>
          <w:color w:val="231F20"/>
        </w:rPr>
        <w:t>HDL</w:t>
      </w:r>
      <w:r w:rsidR="009A309B" w:rsidRPr="00E672B8">
        <w:rPr>
          <w:color w:val="231F20"/>
        </w:rPr>
        <w:t xml:space="preserve">-C </w:t>
      </w:r>
      <w:r w:rsidR="00150004">
        <w:rPr>
          <w:bCs/>
        </w:rPr>
        <w:t>(6)</w:t>
      </w:r>
      <w:r w:rsidR="00AF27DB" w:rsidRPr="00E672B8">
        <w:rPr>
          <w:bCs/>
        </w:rPr>
        <w:t xml:space="preserve">. </w:t>
      </w:r>
      <w:r w:rsidR="004C7696" w:rsidRPr="00E672B8">
        <w:t xml:space="preserve"> </w:t>
      </w:r>
      <w:r w:rsidR="009A309B" w:rsidRPr="00E672B8">
        <w:t>Several studies in recent years concentrate</w:t>
      </w:r>
      <w:r w:rsidR="00ED2B36" w:rsidRPr="00E672B8">
        <w:t>d</w:t>
      </w:r>
      <w:r w:rsidR="009A309B" w:rsidRPr="00E672B8">
        <w:t xml:space="preserve"> on the role of </w:t>
      </w:r>
      <w:r w:rsidR="004C7696" w:rsidRPr="00E672B8">
        <w:t xml:space="preserve">PON1 </w:t>
      </w:r>
      <w:r w:rsidR="009A309B" w:rsidRPr="00E672B8">
        <w:t xml:space="preserve">in instances of CVD, </w:t>
      </w:r>
      <w:r w:rsidR="004C7696" w:rsidRPr="00E672B8">
        <w:t>diabet</w:t>
      </w:r>
      <w:r w:rsidR="009A309B" w:rsidRPr="00E672B8">
        <w:t>es, neurological diseases</w:t>
      </w:r>
      <w:r w:rsidR="004C7696" w:rsidRPr="00E672B8">
        <w:t xml:space="preserve">, HIV </w:t>
      </w:r>
      <w:r w:rsidR="009A309B" w:rsidRPr="00E672B8">
        <w:t>and some other bacterial infections</w:t>
      </w:r>
      <w:r w:rsidR="004C7696" w:rsidRPr="00E672B8">
        <w:t xml:space="preserve">, </w:t>
      </w:r>
      <w:r w:rsidR="009A309B" w:rsidRPr="00E672B8">
        <w:t xml:space="preserve">chronic liver diseases and the use of alcohol </w:t>
      </w:r>
      <w:r w:rsidR="00150004">
        <w:rPr>
          <w:bCs/>
        </w:rPr>
        <w:t>(7)</w:t>
      </w:r>
      <w:r w:rsidR="00AF27DB" w:rsidRPr="00E672B8">
        <w:rPr>
          <w:bCs/>
        </w:rPr>
        <w:t>.</w:t>
      </w:r>
      <w:r w:rsidR="004C7696" w:rsidRPr="00E672B8">
        <w:tab/>
      </w:r>
    </w:p>
    <w:p w:rsidR="005A0D18" w:rsidRPr="00E672B8" w:rsidRDefault="009A309B" w:rsidP="005A0D18">
      <w:pPr>
        <w:autoSpaceDE w:val="0"/>
        <w:autoSpaceDN w:val="0"/>
        <w:adjustRightInd w:val="0"/>
        <w:spacing w:line="480" w:lineRule="auto"/>
        <w:jc w:val="both"/>
        <w:rPr>
          <w:color w:val="231F20"/>
        </w:rPr>
      </w:pPr>
      <w:proofErr w:type="gramStart"/>
      <w:r w:rsidRPr="00E672B8">
        <w:t xml:space="preserve">Oxidation </w:t>
      </w:r>
      <w:r w:rsidR="00AF27DB">
        <w:t xml:space="preserve"> </w:t>
      </w:r>
      <w:r w:rsidRPr="00E672B8">
        <w:t>of</w:t>
      </w:r>
      <w:proofErr w:type="gramEnd"/>
      <w:r w:rsidRPr="00E672B8">
        <w:t xml:space="preserve"> LDL on the ar</w:t>
      </w:r>
      <w:r w:rsidR="00ED2B36" w:rsidRPr="00E672B8">
        <w:t>terial wall is an important step</w:t>
      </w:r>
      <w:r w:rsidRPr="00E672B8">
        <w:t xml:space="preserve"> in the generation of atherosclerosis, </w:t>
      </w:r>
      <w:r w:rsidR="001807AB" w:rsidRPr="00E672B8">
        <w:t>PON1</w:t>
      </w:r>
      <w:r w:rsidRPr="00E672B8">
        <w:t xml:space="preserve"> breaks down the active lipid found in oxidized </w:t>
      </w:r>
      <w:r w:rsidR="001807AB" w:rsidRPr="00E672B8">
        <w:t xml:space="preserve"> LDL (O</w:t>
      </w:r>
      <w:r w:rsidR="00F159FD" w:rsidRPr="00E672B8">
        <w:t>xLDL)</w:t>
      </w:r>
      <w:r w:rsidRPr="00E672B8">
        <w:t xml:space="preserve"> and prevents the inflammatory response on the arterial cell wall </w:t>
      </w:r>
      <w:r w:rsidR="00150004">
        <w:rPr>
          <w:bCs/>
        </w:rPr>
        <w:t>(8)</w:t>
      </w:r>
      <w:r w:rsidR="00AF27DB" w:rsidRPr="00E672B8">
        <w:rPr>
          <w:bCs/>
        </w:rPr>
        <w:t xml:space="preserve">. </w:t>
      </w:r>
      <w:r w:rsidR="00B226EA" w:rsidRPr="00E672B8">
        <w:t xml:space="preserve"> </w:t>
      </w:r>
      <w:r w:rsidRPr="00E672B8">
        <w:t>In this study</w:t>
      </w:r>
      <w:r w:rsidR="00881271" w:rsidRPr="00E672B8">
        <w:t>,</w:t>
      </w:r>
      <w:r w:rsidRPr="00E672B8">
        <w:t xml:space="preserve"> the </w:t>
      </w:r>
      <w:proofErr w:type="gramStart"/>
      <w:r w:rsidRPr="00E672B8">
        <w:t xml:space="preserve">measurement </w:t>
      </w:r>
      <w:r w:rsidR="001D7BB5">
        <w:t xml:space="preserve"> </w:t>
      </w:r>
      <w:r w:rsidRPr="00E672B8">
        <w:t>of</w:t>
      </w:r>
      <w:proofErr w:type="gramEnd"/>
      <w:r w:rsidRPr="00E672B8">
        <w:t xml:space="preserve"> </w:t>
      </w:r>
      <w:r w:rsidR="001D7BB5">
        <w:t xml:space="preserve"> </w:t>
      </w:r>
      <w:r w:rsidRPr="00E672B8">
        <w:t>PON1 levels, lipid profile and apoprotein levels and</w:t>
      </w:r>
      <w:r w:rsidR="00ED2B36" w:rsidRPr="00E672B8">
        <w:t xml:space="preserve"> the</w:t>
      </w:r>
      <w:r w:rsidRPr="00E672B8">
        <w:t xml:space="preserve"> identification of the relationship</w:t>
      </w:r>
      <w:r w:rsidR="00ED2B36" w:rsidRPr="00E672B8">
        <w:t>s</w:t>
      </w:r>
      <w:r w:rsidRPr="00E672B8">
        <w:t xml:space="preserve"> between them</w:t>
      </w:r>
      <w:r w:rsidR="00881271" w:rsidRPr="00E672B8">
        <w:t xml:space="preserve"> in obese women, aims at contributing to the literature by delineating the mechanism of effect for atherosclerotic vascular disease </w:t>
      </w:r>
      <w:r w:rsidR="00ED2B36" w:rsidRPr="00E672B8">
        <w:t>that develops</w:t>
      </w:r>
      <w:r w:rsidR="00881271" w:rsidRPr="00E672B8">
        <w:t xml:space="preserve"> in obesity. </w:t>
      </w:r>
    </w:p>
    <w:p w:rsidR="003A4BF9" w:rsidRPr="001D7BB5" w:rsidRDefault="001D7BB5" w:rsidP="005A0D18">
      <w:pPr>
        <w:autoSpaceDE w:val="0"/>
        <w:autoSpaceDN w:val="0"/>
        <w:adjustRightInd w:val="0"/>
        <w:spacing w:line="480" w:lineRule="auto"/>
        <w:jc w:val="both"/>
        <w:rPr>
          <w:b/>
          <w:bCs/>
          <w:sz w:val="28"/>
          <w:szCs w:val="28"/>
        </w:rPr>
      </w:pPr>
      <w:r w:rsidRPr="001D7BB5">
        <w:rPr>
          <w:b/>
          <w:bCs/>
          <w:sz w:val="28"/>
          <w:szCs w:val="28"/>
        </w:rPr>
        <w:t>Materyal and methods</w:t>
      </w:r>
    </w:p>
    <w:p w:rsidR="003A4BF9" w:rsidRPr="00E672B8" w:rsidRDefault="00E24E13" w:rsidP="007361AB">
      <w:pPr>
        <w:autoSpaceDE w:val="0"/>
        <w:autoSpaceDN w:val="0"/>
        <w:adjustRightInd w:val="0"/>
        <w:spacing w:line="480" w:lineRule="auto"/>
        <w:ind w:firstLine="426"/>
        <w:jc w:val="both"/>
      </w:pPr>
      <w:r w:rsidRPr="00E672B8">
        <w:t>This study was conducted in Abant I</w:t>
      </w:r>
      <w:r w:rsidR="003A4BF9" w:rsidRPr="00E672B8">
        <w:t xml:space="preserve">zzet Baysal </w:t>
      </w:r>
      <w:r w:rsidRPr="00E672B8">
        <w:t>University (A</w:t>
      </w:r>
      <w:r w:rsidR="00E672B8">
        <w:t>I</w:t>
      </w:r>
      <w:r w:rsidRPr="00E672B8">
        <w:t>BU), School of Medicine</w:t>
      </w:r>
      <w:r w:rsidR="003A4BF9" w:rsidRPr="00E672B8">
        <w:t xml:space="preserve">, Bolu </w:t>
      </w:r>
      <w:r w:rsidRPr="00E672B8">
        <w:t xml:space="preserve">Research and Implementation Center. Among the patients or relatives who come to the Blood Sampling Unit for routine control purposes, 60 obese women without any systemic diseases were selected </w:t>
      </w:r>
      <w:r w:rsidR="003A4BF9" w:rsidRPr="00E672B8">
        <w:t>(a</w:t>
      </w:r>
      <w:r w:rsidR="00ED2B36" w:rsidRPr="00E672B8">
        <w:t>ndroid, n=30 and gy</w:t>
      </w:r>
      <w:r w:rsidRPr="00E672B8">
        <w:t>noid, n=30) and</w:t>
      </w:r>
      <w:r w:rsidR="003A4BF9" w:rsidRPr="00E672B8">
        <w:t xml:space="preserve"> 30 </w:t>
      </w:r>
      <w:r w:rsidRPr="00E672B8">
        <w:t>individuals were chosen as the control group to yield a population of 90 individuals</w:t>
      </w:r>
      <w:r w:rsidR="003A4BF9" w:rsidRPr="00E672B8">
        <w:t xml:space="preserve">. </w:t>
      </w:r>
      <w:proofErr w:type="gramStart"/>
      <w:r w:rsidR="003A4BF9" w:rsidRPr="00E672B8">
        <w:t>Obe</w:t>
      </w:r>
      <w:r w:rsidRPr="00E672B8">
        <w:t xml:space="preserve">sity group was determined based on the National Institute of Health (NIH) Criteria </w:t>
      </w:r>
      <w:r w:rsidR="00150004">
        <w:rPr>
          <w:bCs/>
        </w:rPr>
        <w:t>(</w:t>
      </w:r>
      <w:r w:rsidR="00701001">
        <w:rPr>
          <w:bCs/>
        </w:rPr>
        <w:t>9</w:t>
      </w:r>
      <w:r w:rsidR="00150004">
        <w:rPr>
          <w:bCs/>
        </w:rPr>
        <w:t>)</w:t>
      </w:r>
      <w:r w:rsidR="001D7BB5">
        <w:rPr>
          <w:bCs/>
        </w:rPr>
        <w:t xml:space="preserve"> </w:t>
      </w:r>
      <w:r w:rsidR="00D63348" w:rsidRPr="00E672B8">
        <w:t xml:space="preserve"> </w:t>
      </w:r>
      <w:r w:rsidRPr="00E672B8">
        <w:t>Individuals with BMI of &gt;</w:t>
      </w:r>
      <w:r w:rsidR="00D63348" w:rsidRPr="00E672B8">
        <w:t xml:space="preserve"> 30 kg/m</w:t>
      </w:r>
      <w:r w:rsidR="00A13CD4" w:rsidRPr="00E672B8">
        <w:rPr>
          <w:vertAlign w:val="superscript"/>
        </w:rPr>
        <w:t>2</w:t>
      </w:r>
      <w:r w:rsidRPr="00E672B8">
        <w:t xml:space="preserve"> qualified as obese, among these, those with a</w:t>
      </w:r>
      <w:r w:rsidR="00ED2B36" w:rsidRPr="00E672B8">
        <w:t xml:space="preserve"> waist-to-hip (W</w:t>
      </w:r>
      <w:r w:rsidRPr="00E672B8">
        <w:t>TH</w:t>
      </w:r>
      <w:r w:rsidR="00ED2B36" w:rsidRPr="00E672B8">
        <w:t>)</w:t>
      </w:r>
      <w:r w:rsidRPr="00E672B8">
        <w:t xml:space="preserve"> ratio of larger than </w:t>
      </w:r>
      <w:r w:rsidR="00325E6E" w:rsidRPr="00E672B8">
        <w:t>0.</w:t>
      </w:r>
      <w:r w:rsidR="00A13CD4" w:rsidRPr="00E672B8">
        <w:t>85</w:t>
      </w:r>
      <w:r w:rsidRPr="00E672B8">
        <w:t xml:space="preserve"> were classified as a</w:t>
      </w:r>
      <w:r w:rsidR="00ED2B36" w:rsidRPr="00E672B8">
        <w:t>ndroid obeses and those with a W</w:t>
      </w:r>
      <w:r w:rsidRPr="00E672B8">
        <w:t>TH ratio of smaller than 0.85 as gynoid obeses</w:t>
      </w:r>
      <w:r w:rsidR="00B4097A" w:rsidRPr="00E672B8">
        <w:t>.</w:t>
      </w:r>
      <w:r w:rsidR="007361AB" w:rsidRPr="00E672B8">
        <w:t xml:space="preserve"> </w:t>
      </w:r>
      <w:r w:rsidRPr="00E672B8">
        <w:t xml:space="preserve">Among the individuals participating in the study, the following were determined as exclusion criteria: </w:t>
      </w:r>
      <w:r w:rsidR="00FD369F" w:rsidRPr="00E672B8">
        <w:t>a history of cerebrovascular disease within the last three months</w:t>
      </w:r>
      <w:r w:rsidR="003A4BF9" w:rsidRPr="00E672B8">
        <w:t xml:space="preserve">, </w:t>
      </w:r>
      <w:r w:rsidR="00FD369F" w:rsidRPr="00E672B8">
        <w:t>significant weight loss, giving birth within the last six months</w:t>
      </w:r>
      <w:r w:rsidR="001D5E89" w:rsidRPr="00E672B8">
        <w:t>, HT, DM</w:t>
      </w:r>
      <w:r w:rsidR="00FD369F" w:rsidRPr="00E672B8">
        <w:t>, previous MI, history of anorexia</w:t>
      </w:r>
      <w:r w:rsidR="003A4BF9" w:rsidRPr="00E672B8">
        <w:t>/b</w:t>
      </w:r>
      <w:r w:rsidR="00CE2185" w:rsidRPr="00E672B8">
        <w:t xml:space="preserve">ulimia, </w:t>
      </w:r>
      <w:r w:rsidR="00FD369F" w:rsidRPr="00E672B8">
        <w:t xml:space="preserve"> medication use</w:t>
      </w:r>
      <w:r w:rsidR="00CE2185" w:rsidRPr="00E672B8">
        <w:t xml:space="preserve"> (</w:t>
      </w:r>
      <w:r w:rsidR="00FD369F" w:rsidRPr="00E672B8">
        <w:t>Aspirin, anti</w:t>
      </w:r>
      <w:r w:rsidR="00ED2B36" w:rsidRPr="00E672B8">
        <w:t>-</w:t>
      </w:r>
      <w:r w:rsidR="00FD369F" w:rsidRPr="00E672B8">
        <w:t>inflamatory drugs</w:t>
      </w:r>
      <w:r w:rsidR="003A4BF9" w:rsidRPr="00E672B8">
        <w:t>,</w:t>
      </w:r>
      <w:r w:rsidR="00FD369F" w:rsidRPr="00E672B8">
        <w:t xml:space="preserve"> oral contraseptive medications, hypolipemic drugs etc</w:t>
      </w:r>
      <w:r w:rsidR="00CE2185" w:rsidRPr="00E672B8">
        <w:t>.</w:t>
      </w:r>
      <w:r w:rsidR="003A4BF9" w:rsidRPr="00E672B8">
        <w:t>), vitamin</w:t>
      </w:r>
      <w:r w:rsidR="00FD369F" w:rsidRPr="00E672B8">
        <w:t>s</w:t>
      </w:r>
      <w:r w:rsidR="00ED2B36" w:rsidRPr="00E672B8">
        <w:t>, antiox</w:t>
      </w:r>
      <w:r w:rsidR="003A4BF9" w:rsidRPr="00E672B8">
        <w:t>idan</w:t>
      </w:r>
      <w:r w:rsidR="00ED2B36" w:rsidRPr="00E672B8">
        <w:t>t</w:t>
      </w:r>
      <w:r w:rsidR="00FD369F" w:rsidRPr="00E672B8">
        <w:t>s, smoking, pregnancy, menopausal-postmenopausal state, hepatic</w:t>
      </w:r>
      <w:r w:rsidR="003A4BF9" w:rsidRPr="00E672B8">
        <w:t xml:space="preserve">, renal, </w:t>
      </w:r>
      <w:r w:rsidR="003A4BF9" w:rsidRPr="00E672B8">
        <w:lastRenderedPageBreak/>
        <w:t>t</w:t>
      </w:r>
      <w:r w:rsidR="00FD369F" w:rsidRPr="00E672B8">
        <w:t>hyroid or</w:t>
      </w:r>
      <w:r w:rsidR="003A4BF9" w:rsidRPr="00E672B8">
        <w:t xml:space="preserve"> at</w:t>
      </w:r>
      <w:r w:rsidR="00FD369F" w:rsidRPr="00E672B8">
        <w:t>herosclerotic diseases</w:t>
      </w:r>
      <w:r w:rsidR="003A4BF9" w:rsidRPr="00E672B8">
        <w:t>, pit</w:t>
      </w:r>
      <w:r w:rsidR="00FD369F" w:rsidRPr="00E672B8">
        <w:t xml:space="preserve">uitary disease or dysfunction. </w:t>
      </w:r>
      <w:proofErr w:type="gramEnd"/>
      <w:r w:rsidR="00FD369F" w:rsidRPr="00E672B8">
        <w:t>An approval was obtained from AIBU Clinical and Laboratory Research Ethics Committee stating that the study was in abidance with ethical principles</w:t>
      </w:r>
      <w:r w:rsidR="003A4BF9" w:rsidRPr="00E672B8">
        <w:t>.</w:t>
      </w:r>
      <w:r w:rsidR="007361AB" w:rsidRPr="00E672B8">
        <w:t xml:space="preserve"> </w:t>
      </w:r>
    </w:p>
    <w:p w:rsidR="003A4BF9" w:rsidRPr="00E672B8" w:rsidRDefault="00FD369F" w:rsidP="007361AB">
      <w:pPr>
        <w:spacing w:line="480" w:lineRule="auto"/>
        <w:ind w:firstLine="426"/>
        <w:jc w:val="both"/>
        <w:rPr>
          <w:bCs/>
        </w:rPr>
      </w:pPr>
      <w:r w:rsidRPr="00E672B8">
        <w:t>The individuals participating in the study provided venous blood samples at 9:00am in the morning following a 12-hour fast, the samples were o</w:t>
      </w:r>
      <w:r w:rsidR="00ED2B36" w:rsidRPr="00E672B8">
        <w:t>btained while they were sitting</w:t>
      </w:r>
      <w:r w:rsidR="003A4BF9" w:rsidRPr="00E672B8">
        <w:t xml:space="preserve">. </w:t>
      </w:r>
      <w:r w:rsidRPr="00E672B8">
        <w:t xml:space="preserve">Tubes used for serum separation were either dry tubes with gel separators containing clot activators </w:t>
      </w:r>
      <w:r w:rsidR="003A4BF9" w:rsidRPr="00E672B8">
        <w:t>(Vacuette, Greine</w:t>
      </w:r>
      <w:r w:rsidRPr="00E672B8">
        <w:t>r Bio-one GmbH, Kremsmünster, Austri</w:t>
      </w:r>
      <w:r w:rsidR="003A4BF9" w:rsidRPr="00E672B8">
        <w:t xml:space="preserve">a) </w:t>
      </w:r>
      <w:r w:rsidRPr="00E672B8">
        <w:t xml:space="preserve">or those with </w:t>
      </w:r>
      <w:r w:rsidR="00087BD9" w:rsidRPr="00E672B8">
        <w:t>K</w:t>
      </w:r>
      <w:r w:rsidR="00087BD9" w:rsidRPr="00E672B8">
        <w:rPr>
          <w:vertAlign w:val="subscript"/>
        </w:rPr>
        <w:t>3</w:t>
      </w:r>
      <w:r w:rsidR="00087BD9" w:rsidRPr="00E672B8">
        <w:t xml:space="preserve">EDTA (Vacuette, Greiner Bio-one </w:t>
      </w:r>
      <w:r w:rsidRPr="00E672B8">
        <w:t>GmbH, Kremsmünster, Austria)</w:t>
      </w:r>
      <w:r w:rsidR="00351933" w:rsidRPr="00E672B8">
        <w:t>;</w:t>
      </w:r>
      <w:r w:rsidRPr="00E672B8">
        <w:t xml:space="preserve"> </w:t>
      </w:r>
      <w:r w:rsidR="00351933" w:rsidRPr="00E672B8">
        <w:t xml:space="preserve">8 ml. of sample was placed in the first, 2 ml in the second. For the clotting to take place, the obtained blood samples were kept at room temperature </w:t>
      </w:r>
      <w:proofErr w:type="gramStart"/>
      <w:r w:rsidR="00351933" w:rsidRPr="00E672B8">
        <w:t xml:space="preserve">for </w:t>
      </w:r>
      <w:r w:rsidR="003A4BF9" w:rsidRPr="00E672B8">
        <w:t xml:space="preserve"> 30</w:t>
      </w:r>
      <w:proofErr w:type="gramEnd"/>
      <w:r w:rsidR="00351933" w:rsidRPr="00E672B8">
        <w:t xml:space="preserve"> minutes</w:t>
      </w:r>
      <w:r w:rsidR="003A4BF9" w:rsidRPr="00E672B8">
        <w:t xml:space="preserve">. </w:t>
      </w:r>
      <w:r w:rsidR="00351933" w:rsidRPr="00E672B8">
        <w:t>They were then centrifuged at +</w:t>
      </w:r>
      <w:smartTag w:uri="urn:schemas-microsoft-com:office:smarttags" w:element="metricconverter">
        <w:smartTagPr>
          <w:attr w:name="ProductID" w:val="4 ﾰC"/>
        </w:smartTagPr>
        <w:r w:rsidR="00351933" w:rsidRPr="00E672B8">
          <w:t>4 °C</w:t>
        </w:r>
      </w:smartTag>
      <w:r w:rsidR="00351933" w:rsidRPr="00E672B8">
        <w:t xml:space="preserve"> at</w:t>
      </w:r>
      <w:r w:rsidR="00325E6E" w:rsidRPr="00E672B8">
        <w:t xml:space="preserve"> </w:t>
      </w:r>
      <w:smartTag w:uri="urn:schemas-microsoft-com:office:smarttags" w:element="metricconverter">
        <w:smartTagPr>
          <w:attr w:name="ProductID" w:val="1250 g"/>
        </w:smartTagPr>
        <w:r w:rsidR="00351933" w:rsidRPr="00E672B8">
          <w:t>1250 g</w:t>
        </w:r>
      </w:smartTag>
      <w:r w:rsidR="00351933" w:rsidRPr="00E672B8">
        <w:t xml:space="preserve"> for </w:t>
      </w:r>
      <w:r w:rsidR="003A4BF9" w:rsidRPr="00E672B8">
        <w:t xml:space="preserve">15 </w:t>
      </w:r>
      <w:r w:rsidR="00351933" w:rsidRPr="00E672B8">
        <w:t xml:space="preserve">minutes to separate the plasma and the serum. </w:t>
      </w:r>
      <w:r w:rsidR="003A4BF9" w:rsidRPr="00E672B8">
        <w:t>Serum</w:t>
      </w:r>
      <w:r w:rsidR="00ED2B36" w:rsidRPr="00E672B8">
        <w:t xml:space="preserve"> samples were stored</w:t>
      </w:r>
      <w:r w:rsidR="00351933" w:rsidRPr="00E672B8">
        <w:t xml:space="preserve"> at</w:t>
      </w:r>
      <w:r w:rsidR="003A4BF9" w:rsidRPr="00E672B8">
        <w:t xml:space="preserve"> </w:t>
      </w:r>
      <w:smartTag w:uri="urn:schemas-microsoft-com:office:smarttags" w:element="metricconverter">
        <w:smartTagPr>
          <w:attr w:name="ProductID" w:val="-80 ﾰC"/>
        </w:smartTagPr>
        <w:r w:rsidR="003A4BF9" w:rsidRPr="00E672B8">
          <w:t>-80 °C</w:t>
        </w:r>
      </w:smartTag>
      <w:r w:rsidR="00351933" w:rsidRPr="00E672B8">
        <w:t xml:space="preserve"> until the day of the analyses</w:t>
      </w:r>
      <w:r w:rsidR="003A4BF9" w:rsidRPr="00E672B8">
        <w:t xml:space="preserve">. </w:t>
      </w:r>
      <w:r w:rsidR="00351933" w:rsidRPr="00E672B8">
        <w:t xml:space="preserve">Frozen samples were sequentially thawed immediately before the analysis. We refrained from repetitive thawing and freezing. </w:t>
      </w:r>
    </w:p>
    <w:p w:rsidR="003A4BF9" w:rsidRPr="00E672B8" w:rsidRDefault="00351933" w:rsidP="00E0580C">
      <w:pPr>
        <w:autoSpaceDE w:val="0"/>
        <w:autoSpaceDN w:val="0"/>
        <w:adjustRightInd w:val="0"/>
        <w:spacing w:line="480" w:lineRule="auto"/>
        <w:jc w:val="both"/>
      </w:pPr>
      <w:r w:rsidRPr="00E672B8">
        <w:rPr>
          <w:bCs/>
        </w:rPr>
        <w:t xml:space="preserve">Measurement of biochemical parameters </w:t>
      </w:r>
    </w:p>
    <w:p w:rsidR="00090414" w:rsidRPr="00E672B8" w:rsidRDefault="00351933" w:rsidP="00E0580C">
      <w:pPr>
        <w:spacing w:line="480" w:lineRule="auto"/>
        <w:ind w:firstLine="426"/>
        <w:jc w:val="both"/>
      </w:pPr>
      <w:r w:rsidRPr="00E672B8">
        <w:t xml:space="preserve">Serum paraoxonase activity was measured by utilizing </w:t>
      </w:r>
      <w:r w:rsidR="003A4BF9" w:rsidRPr="00E672B8">
        <w:t xml:space="preserve"> Rel Assay Diagnostics </w:t>
      </w:r>
      <w:r w:rsidRPr="00E672B8">
        <w:t xml:space="preserve">commercial </w:t>
      </w:r>
      <w:r w:rsidR="003A4BF9" w:rsidRPr="00E672B8">
        <w:t xml:space="preserve">kit </w:t>
      </w:r>
      <w:r w:rsidR="00453BEF" w:rsidRPr="00E672B8">
        <w:t>(</w:t>
      </w:r>
      <w:r w:rsidRPr="00E672B8">
        <w:t>C</w:t>
      </w:r>
      <w:r w:rsidR="003A4BF9" w:rsidRPr="00E672B8">
        <w:t>atal</w:t>
      </w:r>
      <w:r w:rsidRPr="00E672B8">
        <w:t>og no: 5D43, Gaziantep, Turkey</w:t>
      </w:r>
      <w:r w:rsidR="00ED2B36" w:rsidRPr="00E672B8">
        <w:t xml:space="preserve">). </w:t>
      </w:r>
      <w:r w:rsidR="003A4BF9" w:rsidRPr="00E672B8">
        <w:t>CV</w:t>
      </w:r>
      <w:r w:rsidR="00ED2B36" w:rsidRPr="00E672B8">
        <w:t>%</w:t>
      </w:r>
      <w:r w:rsidR="003A4BF9" w:rsidRPr="00E672B8">
        <w:t xml:space="preserve"> </w:t>
      </w:r>
      <w:r w:rsidRPr="00E672B8">
        <w:t xml:space="preserve">values of the test were reported as  4.1, 1.7 ve 1.5 for low, medium and high serum pools by the manufacturer. </w:t>
      </w:r>
      <w:r w:rsidR="007E334E" w:rsidRPr="00E672B8">
        <w:t>The absorbance produced i</w:t>
      </w:r>
      <w:r w:rsidR="00ED2B36" w:rsidRPr="00E672B8">
        <w:t>n a minute by p-nitrophenol gene</w:t>
      </w:r>
      <w:r w:rsidR="007E334E" w:rsidRPr="00E672B8">
        <w:t xml:space="preserve">rated as a result of the reaction was measured by spectrophotometry at </w:t>
      </w:r>
      <w:r w:rsidR="003A4BF9" w:rsidRPr="00E672B8">
        <w:t>412</w:t>
      </w:r>
      <w:r w:rsidR="007E334E" w:rsidRPr="00E672B8">
        <w:t xml:space="preserve"> nm</w:t>
      </w:r>
      <w:r w:rsidR="003A4BF9" w:rsidRPr="00E672B8">
        <w:t xml:space="preserve">. </w:t>
      </w:r>
      <w:r w:rsidR="007E334E" w:rsidRPr="00E672B8">
        <w:t>Mola</w:t>
      </w:r>
      <w:r w:rsidR="00ED2B36" w:rsidRPr="00E672B8">
        <w:t>r absorbtion coefficient for p-</w:t>
      </w:r>
      <w:r w:rsidR="007E334E" w:rsidRPr="00E672B8">
        <w:t>nitroph</w:t>
      </w:r>
      <w:r w:rsidR="003A4BF9" w:rsidRPr="00E672B8">
        <w:t xml:space="preserve">enol </w:t>
      </w:r>
      <w:r w:rsidR="007E334E" w:rsidRPr="00E672B8">
        <w:t xml:space="preserve">was </w:t>
      </w:r>
      <w:r w:rsidR="003A4BF9" w:rsidRPr="00E672B8">
        <w:t>Є</w:t>
      </w:r>
      <w:r w:rsidR="003A4BF9" w:rsidRPr="00E672B8">
        <w:rPr>
          <w:vertAlign w:val="subscript"/>
        </w:rPr>
        <w:t>412</w:t>
      </w:r>
      <w:r w:rsidR="003A4BF9" w:rsidRPr="00E672B8">
        <w:t>= 18290 M</w:t>
      </w:r>
      <w:r w:rsidR="003A4BF9" w:rsidRPr="00E672B8">
        <w:rPr>
          <w:vertAlign w:val="superscript"/>
        </w:rPr>
        <w:t>-1</w:t>
      </w:r>
      <w:r w:rsidR="003A4BF9" w:rsidRPr="00E672B8">
        <w:t xml:space="preserve"> cm</w:t>
      </w:r>
      <w:r w:rsidR="003A4BF9" w:rsidRPr="00E672B8">
        <w:rPr>
          <w:vertAlign w:val="superscript"/>
        </w:rPr>
        <w:t>-1</w:t>
      </w:r>
      <w:r w:rsidR="003A4BF9" w:rsidRPr="00E672B8">
        <w:t xml:space="preserve">. </w:t>
      </w:r>
      <w:r w:rsidR="007E334E" w:rsidRPr="00E672B8">
        <w:t>One unit of par</w:t>
      </w:r>
      <w:r w:rsidR="00ED2B36" w:rsidRPr="00E672B8">
        <w:t>aoxonase activity was defined as</w:t>
      </w:r>
      <w:r w:rsidR="007E334E" w:rsidRPr="00E672B8">
        <w:t xml:space="preserve"> the amount of enzyme hydrolysing one µmole of paraoxone under these conditions and enzyme activity was expressed as </w:t>
      </w:r>
      <w:r w:rsidR="003A4BF9" w:rsidRPr="00E672B8">
        <w:t>U/L.</w:t>
      </w:r>
    </w:p>
    <w:p w:rsidR="003A4BF9" w:rsidRPr="00E672B8" w:rsidRDefault="007E334E" w:rsidP="007361AB">
      <w:pPr>
        <w:autoSpaceDE w:val="0"/>
        <w:autoSpaceDN w:val="0"/>
        <w:adjustRightInd w:val="0"/>
        <w:spacing w:line="480" w:lineRule="auto"/>
        <w:ind w:firstLine="415"/>
        <w:jc w:val="both"/>
        <w:rPr>
          <w:bCs/>
        </w:rPr>
      </w:pPr>
      <w:r w:rsidRPr="00E672B8">
        <w:t>Serum arylesterase activity was measured by using</w:t>
      </w:r>
      <w:r w:rsidR="003A4BF9" w:rsidRPr="00E672B8">
        <w:t xml:space="preserve"> </w:t>
      </w:r>
      <w:r w:rsidRPr="00E672B8">
        <w:t>Rel Assay Diagnostics arylesterase</w:t>
      </w:r>
      <w:r w:rsidR="003A4BF9" w:rsidRPr="00E672B8">
        <w:t xml:space="preserve"> </w:t>
      </w:r>
      <w:r w:rsidRPr="00E672B8">
        <w:t>activity measurement kit (C</w:t>
      </w:r>
      <w:r w:rsidR="00453BEF" w:rsidRPr="00E672B8">
        <w:t>atalog no: 4D23.</w:t>
      </w:r>
      <w:r w:rsidR="009C789A" w:rsidRPr="00E672B8">
        <w:t xml:space="preserve"> </w:t>
      </w:r>
      <w:r w:rsidR="00453BEF" w:rsidRPr="00E672B8">
        <w:t>Gazi</w:t>
      </w:r>
      <w:r w:rsidR="007B08DE" w:rsidRPr="00E672B8">
        <w:t>a</w:t>
      </w:r>
      <w:r w:rsidR="004B71D1" w:rsidRPr="00E672B8">
        <w:t>ntep,</w:t>
      </w:r>
      <w:r w:rsidRPr="00E672B8">
        <w:t xml:space="preserve"> Turkey</w:t>
      </w:r>
      <w:r w:rsidR="00ED2B36" w:rsidRPr="00E672B8">
        <w:t xml:space="preserve">). </w:t>
      </w:r>
      <w:r w:rsidR="003A4BF9" w:rsidRPr="00E672B8">
        <w:t>CV</w:t>
      </w:r>
      <w:r w:rsidR="00ED2B36" w:rsidRPr="00E672B8">
        <w:t>%</w:t>
      </w:r>
      <w:r w:rsidR="003A4BF9" w:rsidRPr="00E672B8">
        <w:t xml:space="preserve"> </w:t>
      </w:r>
      <w:r w:rsidRPr="00E672B8">
        <w:t>values of the test were reported as 4.0, 3.3 and 3.1 for high, medium and low serum pools by the manufacturer</w:t>
      </w:r>
      <w:r w:rsidR="003A4BF9" w:rsidRPr="00E672B8">
        <w:t>.</w:t>
      </w:r>
      <w:r w:rsidR="00ED2B36" w:rsidRPr="00E672B8">
        <w:t xml:space="preserve"> The method is based</w:t>
      </w:r>
      <w:r w:rsidRPr="00E672B8">
        <w:t xml:space="preserve"> on the colorimetric measurement of the phenol produced as a result of the </w:t>
      </w:r>
      <w:r w:rsidRPr="00E672B8">
        <w:lastRenderedPageBreak/>
        <w:t>enzymatic hydrolysis of the phenylasetate used as a substrate</w:t>
      </w:r>
      <w:r w:rsidR="003A4BF9" w:rsidRPr="00E672B8">
        <w:t>.</w:t>
      </w:r>
      <w:r w:rsidR="007B08DE" w:rsidRPr="00E672B8">
        <w:t xml:space="preserve"> </w:t>
      </w:r>
      <w:r w:rsidRPr="00E672B8">
        <w:t xml:space="preserve">The absorbance produced in a minute by the phenol generated as a result of the reaction was measured by a spectrophotometer at </w:t>
      </w:r>
      <w:r w:rsidR="003A4BF9" w:rsidRPr="00E672B8">
        <w:t>548 nm</w:t>
      </w:r>
      <w:r w:rsidRPr="00E672B8">
        <w:t>. Molar absorbti</w:t>
      </w:r>
      <w:r w:rsidR="006A2C69" w:rsidRPr="00E672B8">
        <w:t>on</w:t>
      </w:r>
      <w:r w:rsidRPr="00E672B8">
        <w:t xml:space="preserve"> coefficient for phenol was </w:t>
      </w:r>
      <w:r w:rsidR="003A4BF9" w:rsidRPr="00E672B8">
        <w:t xml:space="preserve"> Є</w:t>
      </w:r>
      <w:r w:rsidR="003A4BF9" w:rsidRPr="00E672B8">
        <w:rPr>
          <w:vertAlign w:val="subscript"/>
        </w:rPr>
        <w:t>548</w:t>
      </w:r>
      <w:r w:rsidR="003A4BF9" w:rsidRPr="00E672B8">
        <w:t>= 4000 M</w:t>
      </w:r>
      <w:r w:rsidR="003A4BF9" w:rsidRPr="00E672B8">
        <w:rPr>
          <w:vertAlign w:val="superscript"/>
        </w:rPr>
        <w:t>-1</w:t>
      </w:r>
      <w:r w:rsidR="003A4BF9" w:rsidRPr="00E672B8">
        <w:t xml:space="preserve"> cm</w:t>
      </w:r>
      <w:r w:rsidR="003A4BF9" w:rsidRPr="00E672B8">
        <w:rPr>
          <w:vertAlign w:val="superscript"/>
        </w:rPr>
        <w:t>-1</w:t>
      </w:r>
      <w:r w:rsidR="003A4BF9" w:rsidRPr="00E672B8">
        <w:t xml:space="preserve">. </w:t>
      </w:r>
      <w:r w:rsidRPr="00E672B8">
        <w:t>Under these conditions one unit of ary</w:t>
      </w:r>
      <w:r w:rsidR="00235EC6" w:rsidRPr="00E672B8">
        <w:t>lesterase activity was defined</w:t>
      </w:r>
      <w:r w:rsidRPr="00E672B8">
        <w:t xml:space="preserve"> as the</w:t>
      </w:r>
      <w:r w:rsidR="006044F8" w:rsidRPr="00E672B8">
        <w:t xml:space="preserve"> amount of enzyme hydro</w:t>
      </w:r>
      <w:r w:rsidR="00235EC6" w:rsidRPr="00E672B8">
        <w:t>lysing one micromole of phenylac</w:t>
      </w:r>
      <w:r w:rsidR="006044F8" w:rsidRPr="00E672B8">
        <w:t xml:space="preserve">etate in a minute and was expressed as </w:t>
      </w:r>
      <w:r w:rsidRPr="00E672B8">
        <w:t xml:space="preserve"> </w:t>
      </w:r>
      <w:r w:rsidR="003A4BF9" w:rsidRPr="00E672B8">
        <w:t>U/L.</w:t>
      </w:r>
    </w:p>
    <w:p w:rsidR="00E0580C" w:rsidRPr="00E672B8" w:rsidRDefault="003A4BF9" w:rsidP="00E0580C">
      <w:pPr>
        <w:spacing w:line="480" w:lineRule="auto"/>
        <w:ind w:firstLine="426"/>
        <w:jc w:val="both"/>
      </w:pPr>
      <w:r w:rsidRPr="00E672B8">
        <w:t xml:space="preserve">High </w:t>
      </w:r>
      <w:r w:rsidR="006044F8" w:rsidRPr="00E672B8">
        <w:t>sensitive-CRP (hs-CRP) levels were measured by</w:t>
      </w:r>
      <w:r w:rsidRPr="00E672B8">
        <w:t xml:space="preserve"> BN Prospec (Siemens Healthcare</w:t>
      </w:r>
      <w:r w:rsidR="00CE2185" w:rsidRPr="00E672B8">
        <w:t xml:space="preserve"> Diagnostics, Deerfield, IL, ABD</w:t>
      </w:r>
      <w:r w:rsidR="006044F8" w:rsidRPr="00E672B8">
        <w:t>) nephelometer by using a commercial kit and employing a nephelometric method</w:t>
      </w:r>
      <w:r w:rsidRPr="00E672B8">
        <w:t xml:space="preserve">. </w:t>
      </w:r>
    </w:p>
    <w:p w:rsidR="00090414" w:rsidRPr="00E672B8" w:rsidRDefault="006044F8" w:rsidP="007361AB">
      <w:pPr>
        <w:spacing w:line="480" w:lineRule="auto"/>
        <w:ind w:firstLine="426"/>
        <w:jc w:val="both"/>
        <w:rPr>
          <w:bCs/>
        </w:rPr>
      </w:pPr>
      <w:r w:rsidRPr="00E672B8">
        <w:t>Glucose, triglyceride,  HDL-cholesterol (HDL-C)</w:t>
      </w:r>
      <w:r w:rsidR="00235EC6" w:rsidRPr="00E672B8">
        <w:t xml:space="preserve">,  </w:t>
      </w:r>
      <w:r w:rsidRPr="00E672B8">
        <w:t>Total ch</w:t>
      </w:r>
      <w:r w:rsidR="00E0580C" w:rsidRPr="00E672B8">
        <w:t>olesterol</w:t>
      </w:r>
      <w:r w:rsidRPr="00E672B8">
        <w:t>,</w:t>
      </w:r>
      <w:r w:rsidR="00E0580C" w:rsidRPr="00E672B8">
        <w:t xml:space="preserve">   Apolipoprotein A-I (Apo A-I</w:t>
      </w:r>
      <w:r w:rsidRPr="00E672B8">
        <w:t>), Apolipoprotein B (Apo B),   c</w:t>
      </w:r>
      <w:r w:rsidR="00E0580C" w:rsidRPr="00E672B8">
        <w:t>reatinin</w:t>
      </w:r>
      <w:r w:rsidR="00235EC6" w:rsidRPr="00E672B8">
        <w:t>e</w:t>
      </w:r>
      <w:r w:rsidRPr="00E672B8">
        <w:t>, d</w:t>
      </w:r>
      <w:r w:rsidR="00E0580C" w:rsidRPr="00E672B8">
        <w:t>ire</w:t>
      </w:r>
      <w:r w:rsidRPr="00E672B8">
        <w:t>ct-LDL-ch</w:t>
      </w:r>
      <w:r w:rsidR="00E0580C" w:rsidRPr="00E672B8">
        <w:t>ole</w:t>
      </w:r>
      <w:r w:rsidR="00235EC6" w:rsidRPr="00E672B8">
        <w:t>sterol (D-LDL-C)</w:t>
      </w:r>
      <w:r w:rsidRPr="00E672B8">
        <w:t xml:space="preserve"> and serum insu</w:t>
      </w:r>
      <w:r w:rsidR="00E0580C" w:rsidRPr="00E672B8">
        <w:t xml:space="preserve">lin </w:t>
      </w:r>
      <w:r w:rsidRPr="00E672B8">
        <w:t xml:space="preserve">levels were measured with chemiluminescence microparticle enzyme immunological method by using </w:t>
      </w:r>
      <w:r w:rsidR="003A4BF9" w:rsidRPr="00E672B8">
        <w:t>Abbott</w:t>
      </w:r>
      <w:r w:rsidR="00E0580C" w:rsidRPr="00E672B8">
        <w:t xml:space="preserve"> </w:t>
      </w:r>
      <w:r w:rsidRPr="00E672B8">
        <w:t xml:space="preserve">commercial kits </w:t>
      </w:r>
      <w:r w:rsidR="00400D01" w:rsidRPr="00E672B8">
        <w:t xml:space="preserve">(Chicago, IL, </w:t>
      </w:r>
      <w:r w:rsidR="003A4BF9" w:rsidRPr="00E672B8">
        <w:t>A</w:t>
      </w:r>
      <w:r w:rsidR="00400D01" w:rsidRPr="00E672B8">
        <w:t>BD</w:t>
      </w:r>
      <w:r w:rsidR="003A4BF9" w:rsidRPr="00E672B8">
        <w:t>)</w:t>
      </w:r>
      <w:r w:rsidRPr="00E672B8">
        <w:t xml:space="preserve"> and</w:t>
      </w:r>
      <w:r w:rsidR="003A4BF9" w:rsidRPr="00E672B8">
        <w:t xml:space="preserve"> </w:t>
      </w:r>
      <w:r w:rsidR="00E0580C" w:rsidRPr="00E672B8">
        <w:t xml:space="preserve">Abbott Arcitect c8200i  </w:t>
      </w:r>
      <w:r w:rsidRPr="00E672B8">
        <w:t>analyzer</w:t>
      </w:r>
      <w:r w:rsidR="00E0580C" w:rsidRPr="00E672B8">
        <w:t xml:space="preserve">. </w:t>
      </w:r>
      <w:r w:rsidR="007361AB" w:rsidRPr="00E672B8">
        <w:t xml:space="preserve"> </w:t>
      </w:r>
      <w:r w:rsidRPr="00E672B8">
        <w:t>Of the calculated biochemical parameters, HOMA-IR (Homeostasis</w:t>
      </w:r>
      <w:r w:rsidR="003A4BF9" w:rsidRPr="00E672B8">
        <w:t xml:space="preserve"> model ins</w:t>
      </w:r>
      <w:r w:rsidRPr="00E672B8">
        <w:t>ulin resistance) index</w:t>
      </w:r>
      <w:r w:rsidR="007361AB" w:rsidRPr="00E672B8">
        <w:t xml:space="preserve"> </w:t>
      </w:r>
      <w:r w:rsidRPr="00E672B8">
        <w:t>was calculated with the</w:t>
      </w:r>
      <w:r w:rsidR="00235EC6" w:rsidRPr="00E672B8">
        <w:t xml:space="preserve"> following formula:</w:t>
      </w:r>
      <w:r w:rsidRPr="00E672B8">
        <w:t xml:space="preserve"> </w:t>
      </w:r>
      <w:r w:rsidR="00235EC6" w:rsidRPr="00E672B8">
        <w:t>fasting plasma glucose (mg/dL) x</w:t>
      </w:r>
      <w:r w:rsidRPr="00E672B8">
        <w:t xml:space="preserve"> fasting plasma insu</w:t>
      </w:r>
      <w:r w:rsidR="003A4BF9" w:rsidRPr="00E672B8">
        <w:t xml:space="preserve">lin (μIU/dL)/ 405 </w:t>
      </w:r>
      <w:r w:rsidR="00150004">
        <w:rPr>
          <w:bCs/>
        </w:rPr>
        <w:t>(</w:t>
      </w:r>
      <w:r w:rsidR="001D7BB5">
        <w:rPr>
          <w:bCs/>
        </w:rPr>
        <w:t>1</w:t>
      </w:r>
      <w:r w:rsidR="00701001">
        <w:rPr>
          <w:bCs/>
        </w:rPr>
        <w:t>0</w:t>
      </w:r>
      <w:r w:rsidR="00150004">
        <w:rPr>
          <w:bCs/>
        </w:rPr>
        <w:t>)</w:t>
      </w:r>
      <w:r w:rsidR="001D7BB5" w:rsidRPr="00E672B8">
        <w:rPr>
          <w:bCs/>
        </w:rPr>
        <w:t xml:space="preserve">. </w:t>
      </w:r>
      <w:r w:rsidR="003A4BF9" w:rsidRPr="00E672B8">
        <w:rPr>
          <w:spacing w:val="-2"/>
        </w:rPr>
        <w:t xml:space="preserve"> </w:t>
      </w:r>
      <w:r w:rsidR="003A4BF9" w:rsidRPr="00E672B8">
        <w:t xml:space="preserve">MDRD </w:t>
      </w:r>
      <w:r w:rsidR="003A4BF9" w:rsidRPr="00E672B8">
        <w:rPr>
          <w:spacing w:val="-2"/>
        </w:rPr>
        <w:t>(</w:t>
      </w:r>
      <w:r w:rsidRPr="00E672B8">
        <w:rPr>
          <w:spacing w:val="-2"/>
        </w:rPr>
        <w:t>Modification of Diet in Renal Disease</w:t>
      </w:r>
      <w:r w:rsidR="003A4BF9" w:rsidRPr="00E672B8">
        <w:t>)</w:t>
      </w:r>
      <w:r w:rsidR="002F429D" w:rsidRPr="00E672B8">
        <w:t xml:space="preserve"> </w:t>
      </w:r>
      <w:r w:rsidRPr="00E672B8">
        <w:rPr>
          <w:iCs/>
        </w:rPr>
        <w:t xml:space="preserve">renal function was assessed with the help of the estimated glomerular filtration rate (eGFR) calculated with </w:t>
      </w:r>
      <w:r w:rsidR="003A4BF9" w:rsidRPr="00E672B8">
        <w:rPr>
          <w:iCs/>
        </w:rPr>
        <w:t xml:space="preserve">MDRD </w:t>
      </w:r>
      <w:r w:rsidR="00235EC6" w:rsidRPr="00E672B8">
        <w:rPr>
          <w:iCs/>
        </w:rPr>
        <w:t>equation</w:t>
      </w:r>
      <w:r w:rsidRPr="00E672B8">
        <w:rPr>
          <w:iCs/>
        </w:rPr>
        <w:t xml:space="preserve"> </w:t>
      </w:r>
      <w:r w:rsidR="00150004">
        <w:rPr>
          <w:bCs/>
        </w:rPr>
        <w:t>(</w:t>
      </w:r>
      <w:r w:rsidR="001D7BB5">
        <w:rPr>
          <w:bCs/>
        </w:rPr>
        <w:t>1</w:t>
      </w:r>
      <w:r w:rsidR="00701001">
        <w:rPr>
          <w:bCs/>
        </w:rPr>
        <w:t>1</w:t>
      </w:r>
      <w:r w:rsidR="00150004">
        <w:rPr>
          <w:bCs/>
        </w:rPr>
        <w:t>)</w:t>
      </w:r>
      <w:r w:rsidR="001D7BB5" w:rsidRPr="00E672B8">
        <w:rPr>
          <w:bCs/>
        </w:rPr>
        <w:t>.</w:t>
      </w:r>
    </w:p>
    <w:p w:rsidR="00610434" w:rsidRPr="00E672B8" w:rsidRDefault="006044F8" w:rsidP="00E0580C">
      <w:pPr>
        <w:spacing w:line="480" w:lineRule="auto"/>
        <w:ind w:firstLine="709"/>
        <w:jc w:val="both"/>
      </w:pPr>
      <w:r w:rsidRPr="00E672B8">
        <w:t>Whether the numerical changes showed a normal distribution or not was assessed with Kolmogorov Smirnov test</w:t>
      </w:r>
      <w:r w:rsidR="003A4BF9" w:rsidRPr="00E672B8">
        <w:t xml:space="preserve">, </w:t>
      </w:r>
      <w:r w:rsidRPr="00E672B8">
        <w:t>and its homogenicity was analysed with</w:t>
      </w:r>
      <w:r w:rsidR="003A4BF9" w:rsidRPr="00E672B8">
        <w:t xml:space="preserve"> Levene test. </w:t>
      </w:r>
      <w:r w:rsidR="00B12BC8" w:rsidRPr="00E672B8">
        <w:t>All the data were presented as mean± standard deviation</w:t>
      </w:r>
      <w:r w:rsidR="003A4BF9" w:rsidRPr="00E672B8">
        <w:t xml:space="preserve">. </w:t>
      </w:r>
      <w:r w:rsidR="00B12BC8" w:rsidRPr="00E672B8">
        <w:t xml:space="preserve">For parameters with normal distribution, the groups were evaluated with One Way ANOVA. For parameters that were significant, </w:t>
      </w:r>
      <w:r w:rsidR="003A4BF9" w:rsidRPr="00E672B8">
        <w:t xml:space="preserve"> post hoc Tukey test</w:t>
      </w:r>
      <w:r w:rsidR="00B12BC8" w:rsidRPr="00E672B8">
        <w:t xml:space="preserve"> was used to see the differences between the groups</w:t>
      </w:r>
      <w:r w:rsidR="003A4BF9" w:rsidRPr="00E672B8">
        <w:t xml:space="preserve">. </w:t>
      </w:r>
      <w:r w:rsidR="00B12BC8" w:rsidRPr="00E672B8">
        <w:t xml:space="preserve">For parameters that did </w:t>
      </w:r>
      <w:r w:rsidR="00235EC6" w:rsidRPr="00E672B8">
        <w:t xml:space="preserve">not have a normal distribution </w:t>
      </w:r>
      <w:r w:rsidR="00B12BC8" w:rsidRPr="00E672B8">
        <w:t xml:space="preserve">following </w:t>
      </w:r>
      <w:r w:rsidR="003A4BF9" w:rsidRPr="00E672B8">
        <w:t xml:space="preserve">Kruskal Wallis </w:t>
      </w:r>
      <w:r w:rsidR="00B12BC8" w:rsidRPr="00E672B8">
        <w:t xml:space="preserve">variance analysis, the difference between the groups was analysed with </w:t>
      </w:r>
      <w:r w:rsidR="003A4BF9" w:rsidRPr="00E672B8">
        <w:t xml:space="preserve">Mann Whitney U. </w:t>
      </w:r>
      <w:r w:rsidR="00B12BC8" w:rsidRPr="00E672B8">
        <w:t xml:space="preserve">Arithmetical mean and standard deviation were used for parametric data, median and standard error were used for nonparametric data. Pearson </w:t>
      </w:r>
      <w:r w:rsidR="00B12BC8" w:rsidRPr="00E672B8">
        <w:lastRenderedPageBreak/>
        <w:t>c</w:t>
      </w:r>
      <w:r w:rsidR="003A4BF9" w:rsidRPr="00E672B8">
        <w:t>or</w:t>
      </w:r>
      <w:r w:rsidR="00B12BC8" w:rsidRPr="00E672B8">
        <w:t>r</w:t>
      </w:r>
      <w:r w:rsidR="003A4BF9" w:rsidRPr="00E672B8">
        <w:t>el</w:t>
      </w:r>
      <w:r w:rsidR="00B12BC8" w:rsidRPr="00E672B8">
        <w:t>ati</w:t>
      </w:r>
      <w:r w:rsidR="00AC426C" w:rsidRPr="00E672B8">
        <w:t xml:space="preserve">on </w:t>
      </w:r>
      <w:r w:rsidR="00B12BC8" w:rsidRPr="00E672B8">
        <w:t>and</w:t>
      </w:r>
      <w:r w:rsidR="00AC426C" w:rsidRPr="00E672B8">
        <w:t xml:space="preserve"> </w:t>
      </w:r>
      <w:r w:rsidR="00B12BC8" w:rsidRPr="00E672B8">
        <w:t>BMI were calculated with multiple linear regression analysis</w:t>
      </w:r>
      <w:r w:rsidR="003A4BF9" w:rsidRPr="00E672B8">
        <w:t xml:space="preserve">. </w:t>
      </w:r>
      <w:r w:rsidR="00B12BC8" w:rsidRPr="00E672B8">
        <w:t xml:space="preserve">Results were evaluated within </w:t>
      </w:r>
      <w:r w:rsidR="003A4BF9" w:rsidRPr="00E672B8">
        <w:t>95</w:t>
      </w:r>
      <w:r w:rsidR="00B12BC8" w:rsidRPr="00E672B8">
        <w:t>% co</w:t>
      </w:r>
      <w:r w:rsidR="00235EC6" w:rsidRPr="00E672B8">
        <w:t>nfidence interval</w:t>
      </w:r>
      <w:r w:rsidR="00B12BC8" w:rsidRPr="00E672B8">
        <w:t xml:space="preserve"> and </w:t>
      </w:r>
      <w:r w:rsidR="003A4BF9" w:rsidRPr="00E672B8">
        <w:t xml:space="preserve"> p</w:t>
      </w:r>
      <w:r w:rsidR="00B12BC8" w:rsidRPr="00E672B8">
        <w:t xml:space="preserve"> value of &lt;0.05 was accepted as statistically significant</w:t>
      </w:r>
      <w:r w:rsidR="003A4BF9" w:rsidRPr="00E672B8">
        <w:t>.</w:t>
      </w:r>
    </w:p>
    <w:p w:rsidR="00B12BC8" w:rsidRPr="001D7BB5" w:rsidRDefault="001D7BB5" w:rsidP="001D7BB5">
      <w:pPr>
        <w:spacing w:line="480" w:lineRule="auto"/>
        <w:jc w:val="both"/>
        <w:rPr>
          <w:b/>
          <w:bCs/>
          <w:sz w:val="28"/>
          <w:szCs w:val="28"/>
        </w:rPr>
      </w:pPr>
      <w:r w:rsidRPr="001D7BB5">
        <w:rPr>
          <w:b/>
          <w:bCs/>
          <w:sz w:val="28"/>
          <w:szCs w:val="28"/>
        </w:rPr>
        <w:t>Results</w:t>
      </w:r>
    </w:p>
    <w:p w:rsidR="003A4BF9" w:rsidRPr="00E672B8" w:rsidRDefault="00B12BC8" w:rsidP="00E0580C">
      <w:pPr>
        <w:spacing w:line="480" w:lineRule="auto"/>
        <w:ind w:firstLine="709"/>
        <w:jc w:val="both"/>
        <w:rPr>
          <w:bCs/>
        </w:rPr>
      </w:pPr>
      <w:r w:rsidRPr="00E672B8">
        <w:rPr>
          <w:bCs/>
        </w:rPr>
        <w:t>The study group consisted of healthy non-obese</w:t>
      </w:r>
      <w:r w:rsidR="003A4BF9" w:rsidRPr="00E672B8">
        <w:rPr>
          <w:bCs/>
        </w:rPr>
        <w:t xml:space="preserve"> </w:t>
      </w:r>
      <w:r w:rsidRPr="00E672B8">
        <w:rPr>
          <w:bCs/>
        </w:rPr>
        <w:t>control group</w:t>
      </w:r>
      <w:r w:rsidR="003A4BF9" w:rsidRPr="00E672B8">
        <w:rPr>
          <w:bCs/>
        </w:rPr>
        <w:t xml:space="preserve"> (Gr</w:t>
      </w:r>
      <w:r w:rsidRPr="00E672B8">
        <w:rPr>
          <w:bCs/>
        </w:rPr>
        <w:t>oup I, n=30), abdominal obesity</w:t>
      </w:r>
      <w:r w:rsidR="00235EC6" w:rsidRPr="00E672B8">
        <w:rPr>
          <w:bCs/>
        </w:rPr>
        <w:t xml:space="preserve"> group</w:t>
      </w:r>
      <w:r w:rsidR="003A4BF9" w:rsidRPr="00E672B8">
        <w:rPr>
          <w:bCs/>
        </w:rPr>
        <w:t xml:space="preserve"> </w:t>
      </w:r>
      <w:r w:rsidR="00CE4106" w:rsidRPr="00E672B8">
        <w:rPr>
          <w:bCs/>
        </w:rPr>
        <w:t>(Gr</w:t>
      </w:r>
      <w:r w:rsidRPr="00E672B8">
        <w:rPr>
          <w:bCs/>
        </w:rPr>
        <w:t>o</w:t>
      </w:r>
      <w:r w:rsidR="00CE4106" w:rsidRPr="00E672B8">
        <w:rPr>
          <w:bCs/>
        </w:rPr>
        <w:t>up II, n=30)</w:t>
      </w:r>
      <w:r w:rsidRPr="00E672B8">
        <w:rPr>
          <w:bCs/>
        </w:rPr>
        <w:t xml:space="preserve"> and gy</w:t>
      </w:r>
      <w:r w:rsidR="00CE4106" w:rsidRPr="00E672B8">
        <w:rPr>
          <w:bCs/>
        </w:rPr>
        <w:t>n</w:t>
      </w:r>
      <w:r w:rsidRPr="00E672B8">
        <w:rPr>
          <w:bCs/>
        </w:rPr>
        <w:t>oid obesity group</w:t>
      </w:r>
      <w:r w:rsidR="003A4BF9" w:rsidRPr="00E672B8">
        <w:rPr>
          <w:bCs/>
        </w:rPr>
        <w:t xml:space="preserve">  (Gr</w:t>
      </w:r>
      <w:r w:rsidRPr="00E672B8">
        <w:rPr>
          <w:bCs/>
        </w:rPr>
        <w:t>o</w:t>
      </w:r>
      <w:r w:rsidR="003A4BF9" w:rsidRPr="00E672B8">
        <w:rPr>
          <w:bCs/>
        </w:rPr>
        <w:t xml:space="preserve">up III, n=30) </w:t>
      </w:r>
      <w:r w:rsidRPr="00E672B8">
        <w:rPr>
          <w:bCs/>
        </w:rPr>
        <w:t xml:space="preserve"> adding up to 90 female subjects</w:t>
      </w:r>
      <w:r w:rsidR="003A4BF9" w:rsidRPr="00E672B8">
        <w:rPr>
          <w:bCs/>
        </w:rPr>
        <w:t>.</w:t>
      </w:r>
    </w:p>
    <w:p w:rsidR="00ED64FF" w:rsidRPr="00E672B8" w:rsidRDefault="00B12BC8" w:rsidP="00E0580C">
      <w:pPr>
        <w:spacing w:line="480" w:lineRule="auto"/>
        <w:ind w:firstLine="709"/>
        <w:jc w:val="both"/>
        <w:rPr>
          <w:bCs/>
        </w:rPr>
      </w:pPr>
      <w:r w:rsidRPr="00E672B8">
        <w:rPr>
          <w:bCs/>
        </w:rPr>
        <w:t>Mean age</w:t>
      </w:r>
      <w:r w:rsidR="00ED64FF" w:rsidRPr="00E672B8">
        <w:rPr>
          <w:bCs/>
        </w:rPr>
        <w:t>, SD</w:t>
      </w:r>
      <w:r w:rsidRPr="00E672B8">
        <w:rPr>
          <w:bCs/>
        </w:rPr>
        <w:t xml:space="preserve"> and range of the groups were found as</w:t>
      </w:r>
      <w:r w:rsidR="00ED64FF" w:rsidRPr="00E672B8">
        <w:rPr>
          <w:bCs/>
        </w:rPr>
        <w:t>; Gr</w:t>
      </w:r>
      <w:r w:rsidRPr="00E672B8">
        <w:rPr>
          <w:bCs/>
        </w:rPr>
        <w:t>o</w:t>
      </w:r>
      <w:r w:rsidR="00ED64FF" w:rsidRPr="00E672B8">
        <w:rPr>
          <w:bCs/>
        </w:rPr>
        <w:t xml:space="preserve">up I </w:t>
      </w:r>
      <w:r w:rsidRPr="00E672B8">
        <w:rPr>
          <w:color w:val="000000"/>
        </w:rPr>
        <w:t>31.5 ± 7.5 (21-48) years, Gr</w:t>
      </w:r>
      <w:r w:rsidR="00235EC6" w:rsidRPr="00E672B8">
        <w:rPr>
          <w:color w:val="000000"/>
        </w:rPr>
        <w:t>o</w:t>
      </w:r>
      <w:r w:rsidRPr="00E672B8">
        <w:rPr>
          <w:color w:val="000000"/>
        </w:rPr>
        <w:t>up II 35.6 ± 8.6 (18-47) years and</w:t>
      </w:r>
      <w:r w:rsidR="00ED64FF" w:rsidRPr="00E672B8">
        <w:rPr>
          <w:color w:val="000000"/>
        </w:rPr>
        <w:t xml:space="preserve"> Gr</w:t>
      </w:r>
      <w:r w:rsidRPr="00E672B8">
        <w:rPr>
          <w:color w:val="000000"/>
        </w:rPr>
        <w:t>o</w:t>
      </w:r>
      <w:r w:rsidR="00ED64FF" w:rsidRPr="00E672B8">
        <w:rPr>
          <w:color w:val="000000"/>
        </w:rPr>
        <w:t>up III 34.0 ± 8.2 (18-47) y</w:t>
      </w:r>
      <w:r w:rsidRPr="00E672B8">
        <w:rPr>
          <w:color w:val="000000"/>
        </w:rPr>
        <w:t>ears</w:t>
      </w:r>
      <w:r w:rsidR="00ED64FF" w:rsidRPr="00E672B8">
        <w:rPr>
          <w:bCs/>
        </w:rPr>
        <w:t xml:space="preserve">, </w:t>
      </w:r>
      <w:r w:rsidRPr="00E672B8">
        <w:rPr>
          <w:bCs/>
        </w:rPr>
        <w:t xml:space="preserve">demonstrating no statistical difference </w:t>
      </w:r>
      <w:r w:rsidR="00ED64FF" w:rsidRPr="00E672B8">
        <w:rPr>
          <w:bCs/>
        </w:rPr>
        <w:t xml:space="preserve">(p=0.163). </w:t>
      </w:r>
      <w:r w:rsidRPr="00E672B8">
        <w:rPr>
          <w:bCs/>
        </w:rPr>
        <w:t>The duration of ob</w:t>
      </w:r>
      <w:r w:rsidR="00F66C87" w:rsidRPr="00E672B8">
        <w:rPr>
          <w:bCs/>
        </w:rPr>
        <w:t>e</w:t>
      </w:r>
      <w:r w:rsidRPr="00E672B8">
        <w:rPr>
          <w:bCs/>
        </w:rPr>
        <w:t xml:space="preserve">sity was </w:t>
      </w:r>
      <w:r w:rsidR="00F66C87" w:rsidRPr="00E672B8">
        <w:rPr>
          <w:color w:val="000000"/>
        </w:rPr>
        <w:t xml:space="preserve">5.0 ( 2.0 – 10.0) years for </w:t>
      </w:r>
      <w:r w:rsidR="00ED64FF" w:rsidRPr="00E672B8">
        <w:rPr>
          <w:bCs/>
        </w:rPr>
        <w:t>Gr</w:t>
      </w:r>
      <w:r w:rsidR="00F66C87" w:rsidRPr="00E672B8">
        <w:rPr>
          <w:bCs/>
        </w:rPr>
        <w:t xml:space="preserve">oup II and </w:t>
      </w:r>
      <w:r w:rsidR="00F66C87" w:rsidRPr="00E672B8">
        <w:rPr>
          <w:color w:val="000000"/>
        </w:rPr>
        <w:t>4.0 (1.0 – 12.0) years for G</w:t>
      </w:r>
      <w:r w:rsidR="00ED64FF" w:rsidRPr="00E672B8">
        <w:rPr>
          <w:color w:val="000000"/>
        </w:rPr>
        <w:t>r</w:t>
      </w:r>
      <w:r w:rsidR="00F66C87" w:rsidRPr="00E672B8">
        <w:rPr>
          <w:color w:val="000000"/>
        </w:rPr>
        <w:t>o</w:t>
      </w:r>
      <w:r w:rsidR="00ED64FF" w:rsidRPr="00E672B8">
        <w:rPr>
          <w:color w:val="000000"/>
        </w:rPr>
        <w:t>up III</w:t>
      </w:r>
      <w:r w:rsidR="00F66C87" w:rsidRPr="00E672B8">
        <w:rPr>
          <w:color w:val="000000"/>
        </w:rPr>
        <w:t xml:space="preserve">. There was a statistically significant difference between the groups </w:t>
      </w:r>
      <w:r w:rsidR="00ED64FF" w:rsidRPr="00E672B8">
        <w:rPr>
          <w:color w:val="000000"/>
        </w:rPr>
        <w:t xml:space="preserve">(p=0.000) </w:t>
      </w:r>
      <w:r w:rsidR="00F66C87" w:rsidRPr="00E672B8">
        <w:rPr>
          <w:color w:val="000000"/>
        </w:rPr>
        <w:t xml:space="preserve">A statistically significant difference was seen between </w:t>
      </w:r>
      <w:r w:rsidR="00ED64FF" w:rsidRPr="00E672B8">
        <w:rPr>
          <w:color w:val="000000"/>
        </w:rPr>
        <w:t>Gr</w:t>
      </w:r>
      <w:r w:rsidR="00F66C87" w:rsidRPr="00E672B8">
        <w:rPr>
          <w:color w:val="000000"/>
        </w:rPr>
        <w:t>oup I and</w:t>
      </w:r>
      <w:r w:rsidR="00ED64FF" w:rsidRPr="00E672B8">
        <w:rPr>
          <w:color w:val="000000"/>
        </w:rPr>
        <w:t xml:space="preserve"> II </w:t>
      </w:r>
      <w:r w:rsidR="00F66C87" w:rsidRPr="00E672B8">
        <w:rPr>
          <w:color w:val="000000"/>
        </w:rPr>
        <w:t>(p=0.000) and</w:t>
      </w:r>
      <w:r w:rsidR="00ED64FF" w:rsidRPr="00E672B8">
        <w:rPr>
          <w:color w:val="000000"/>
        </w:rPr>
        <w:t xml:space="preserve"> Gr</w:t>
      </w:r>
      <w:r w:rsidR="00F66C87" w:rsidRPr="00E672B8">
        <w:rPr>
          <w:color w:val="000000"/>
        </w:rPr>
        <w:t>oup I and</w:t>
      </w:r>
      <w:r w:rsidR="00ED64FF" w:rsidRPr="00E672B8">
        <w:rPr>
          <w:color w:val="000000"/>
        </w:rPr>
        <w:t xml:space="preserve"> III </w:t>
      </w:r>
      <w:r w:rsidR="00F66C87" w:rsidRPr="00E672B8">
        <w:rPr>
          <w:color w:val="000000"/>
        </w:rPr>
        <w:t xml:space="preserve">(p=0.000), but not with </w:t>
      </w:r>
      <w:r w:rsidR="00ED64FF" w:rsidRPr="00E672B8">
        <w:rPr>
          <w:color w:val="000000"/>
        </w:rPr>
        <w:t>Gr</w:t>
      </w:r>
      <w:r w:rsidR="00F66C87" w:rsidRPr="00E672B8">
        <w:rPr>
          <w:color w:val="000000"/>
        </w:rPr>
        <w:t>o</w:t>
      </w:r>
      <w:r w:rsidR="00ED64FF" w:rsidRPr="00E672B8">
        <w:rPr>
          <w:color w:val="000000"/>
        </w:rPr>
        <w:t xml:space="preserve">up II </w:t>
      </w:r>
      <w:r w:rsidR="00F66C87" w:rsidRPr="00E672B8">
        <w:rPr>
          <w:color w:val="000000"/>
        </w:rPr>
        <w:t xml:space="preserve">and </w:t>
      </w:r>
      <w:r w:rsidR="00ED64FF" w:rsidRPr="00E672B8">
        <w:rPr>
          <w:color w:val="000000"/>
        </w:rPr>
        <w:t xml:space="preserve">III (p=0.525). </w:t>
      </w:r>
    </w:p>
    <w:p w:rsidR="00F262B6" w:rsidRPr="00E672B8" w:rsidRDefault="00F66C87" w:rsidP="00E0580C">
      <w:pPr>
        <w:spacing w:line="480" w:lineRule="auto"/>
        <w:ind w:firstLine="709"/>
        <w:jc w:val="both"/>
        <w:rPr>
          <w:bCs/>
        </w:rPr>
      </w:pPr>
      <w:r w:rsidRPr="00E672B8">
        <w:rPr>
          <w:bCs/>
        </w:rPr>
        <w:t xml:space="preserve">The measured and calculated values for the study groups were classified as parametric and nonparametric with </w:t>
      </w:r>
      <w:r w:rsidR="003A4BF9" w:rsidRPr="00E672B8">
        <w:rPr>
          <w:bCs/>
        </w:rPr>
        <w:t>Kolmogorov Smirnov test</w:t>
      </w:r>
      <w:r w:rsidRPr="00E672B8">
        <w:rPr>
          <w:bCs/>
        </w:rPr>
        <w:t xml:space="preserve"> based on the</w:t>
      </w:r>
      <w:r w:rsidR="003A4BF9" w:rsidRPr="00E672B8">
        <w:rPr>
          <w:bCs/>
        </w:rPr>
        <w:t>i</w:t>
      </w:r>
      <w:r w:rsidRPr="00E672B8">
        <w:rPr>
          <w:bCs/>
        </w:rPr>
        <w:t>r distributions</w:t>
      </w:r>
      <w:r w:rsidR="003A4BF9" w:rsidRPr="00E672B8">
        <w:rPr>
          <w:bCs/>
        </w:rPr>
        <w:t xml:space="preserve">. </w:t>
      </w:r>
      <w:r w:rsidR="00235EC6" w:rsidRPr="00E672B8">
        <w:rPr>
          <w:bCs/>
        </w:rPr>
        <w:t>Nonparametric</w:t>
      </w:r>
      <w:r w:rsidRPr="00E672B8">
        <w:rPr>
          <w:bCs/>
        </w:rPr>
        <w:t xml:space="preserve"> tests were identified as duration of </w:t>
      </w:r>
      <w:r w:rsidR="00596E7E" w:rsidRPr="00E672B8">
        <w:rPr>
          <w:bCs/>
        </w:rPr>
        <w:t>obe</w:t>
      </w:r>
      <w:r w:rsidRPr="00E672B8">
        <w:rPr>
          <w:bCs/>
        </w:rPr>
        <w:t>sity, BMI, systolic</w:t>
      </w:r>
      <w:r w:rsidR="000027E2" w:rsidRPr="00E672B8">
        <w:rPr>
          <w:bCs/>
        </w:rPr>
        <w:t xml:space="preserve"> </w:t>
      </w:r>
      <w:r w:rsidRPr="00E672B8">
        <w:rPr>
          <w:bCs/>
        </w:rPr>
        <w:t xml:space="preserve">blood pressure </w:t>
      </w:r>
      <w:r w:rsidR="000027E2" w:rsidRPr="00E672B8">
        <w:rPr>
          <w:bCs/>
        </w:rPr>
        <w:t>(</w:t>
      </w:r>
      <w:r w:rsidRPr="00E672B8">
        <w:rPr>
          <w:bCs/>
        </w:rPr>
        <w:t>S</w:t>
      </w:r>
      <w:r w:rsidR="003A4BF9" w:rsidRPr="00E672B8">
        <w:rPr>
          <w:bCs/>
        </w:rPr>
        <w:t>B</w:t>
      </w:r>
      <w:r w:rsidRPr="00E672B8">
        <w:rPr>
          <w:bCs/>
        </w:rPr>
        <w:t>P</w:t>
      </w:r>
      <w:r w:rsidR="000027E2" w:rsidRPr="00E672B8">
        <w:rPr>
          <w:bCs/>
        </w:rPr>
        <w:t>)</w:t>
      </w:r>
      <w:r w:rsidR="003A4BF9" w:rsidRPr="00E672B8">
        <w:rPr>
          <w:bCs/>
        </w:rPr>
        <w:t>,</w:t>
      </w:r>
      <w:r w:rsidR="000027E2" w:rsidRPr="00E672B8">
        <w:rPr>
          <w:bCs/>
        </w:rPr>
        <w:t xml:space="preserve"> diastol</w:t>
      </w:r>
      <w:r w:rsidRPr="00E672B8">
        <w:rPr>
          <w:bCs/>
        </w:rPr>
        <w:t>ic</w:t>
      </w:r>
      <w:r w:rsidR="000027E2" w:rsidRPr="00E672B8">
        <w:rPr>
          <w:bCs/>
        </w:rPr>
        <w:t xml:space="preserve"> </w:t>
      </w:r>
      <w:r w:rsidRPr="00E672B8">
        <w:rPr>
          <w:bCs/>
        </w:rPr>
        <w:t xml:space="preserve">blood pressure </w:t>
      </w:r>
      <w:r w:rsidR="000027E2" w:rsidRPr="00E672B8">
        <w:rPr>
          <w:bCs/>
        </w:rPr>
        <w:t>(</w:t>
      </w:r>
      <w:r w:rsidRPr="00E672B8">
        <w:rPr>
          <w:bCs/>
        </w:rPr>
        <w:t>D</w:t>
      </w:r>
      <w:r w:rsidR="003A4BF9" w:rsidRPr="00E672B8">
        <w:rPr>
          <w:bCs/>
        </w:rPr>
        <w:t>B</w:t>
      </w:r>
      <w:r w:rsidRPr="00E672B8">
        <w:rPr>
          <w:bCs/>
        </w:rPr>
        <w:t>P</w:t>
      </w:r>
      <w:r w:rsidR="000027E2" w:rsidRPr="00E672B8">
        <w:rPr>
          <w:bCs/>
        </w:rPr>
        <w:t>)</w:t>
      </w:r>
      <w:r w:rsidRPr="00E672B8">
        <w:rPr>
          <w:bCs/>
        </w:rPr>
        <w:t>, Insulin, HOMA-IR and</w:t>
      </w:r>
      <w:r w:rsidR="003A4BF9" w:rsidRPr="00E672B8">
        <w:rPr>
          <w:bCs/>
        </w:rPr>
        <w:t xml:space="preserve"> ARE a</w:t>
      </w:r>
      <w:r w:rsidRPr="00E672B8">
        <w:rPr>
          <w:bCs/>
        </w:rPr>
        <w:t>citivity and the results were presented as median and standard error</w:t>
      </w:r>
      <w:r w:rsidR="003A4BF9" w:rsidRPr="00E672B8">
        <w:rPr>
          <w:bCs/>
        </w:rPr>
        <w:t>. Para</w:t>
      </w:r>
      <w:r w:rsidRPr="00E672B8">
        <w:rPr>
          <w:bCs/>
        </w:rPr>
        <w:t>me</w:t>
      </w:r>
      <w:r w:rsidR="00235EC6" w:rsidRPr="00E672B8">
        <w:rPr>
          <w:bCs/>
        </w:rPr>
        <w:t>tric tests were identified as  age, W</w:t>
      </w:r>
      <w:r w:rsidRPr="00E672B8">
        <w:rPr>
          <w:bCs/>
        </w:rPr>
        <w:t>TH ratio</w:t>
      </w:r>
      <w:r w:rsidR="00081B42" w:rsidRPr="00E672B8">
        <w:rPr>
          <w:bCs/>
        </w:rPr>
        <w:t>, g</w:t>
      </w:r>
      <w:r w:rsidRPr="00E672B8">
        <w:rPr>
          <w:bCs/>
        </w:rPr>
        <w:t>lucose,  c</w:t>
      </w:r>
      <w:r w:rsidR="003A4BF9" w:rsidRPr="00E672B8">
        <w:rPr>
          <w:bCs/>
        </w:rPr>
        <w:t>reatinin</w:t>
      </w:r>
      <w:r w:rsidRPr="00E672B8">
        <w:rPr>
          <w:bCs/>
        </w:rPr>
        <w:t>e, MDRD, Total ch</w:t>
      </w:r>
      <w:r w:rsidR="003A4BF9" w:rsidRPr="00E672B8">
        <w:rPr>
          <w:bCs/>
        </w:rPr>
        <w:t>olesterol, t</w:t>
      </w:r>
      <w:r w:rsidRPr="00E672B8">
        <w:rPr>
          <w:bCs/>
        </w:rPr>
        <w:t>riglyceride, HDL-C</w:t>
      </w:r>
      <w:r w:rsidR="00081B42" w:rsidRPr="00E672B8">
        <w:rPr>
          <w:bCs/>
        </w:rPr>
        <w:t>, Apo</w:t>
      </w:r>
      <w:r w:rsidR="000027E2" w:rsidRPr="00E672B8">
        <w:rPr>
          <w:bCs/>
        </w:rPr>
        <w:t xml:space="preserve"> </w:t>
      </w:r>
      <w:r w:rsidR="00081B42" w:rsidRPr="00E672B8">
        <w:rPr>
          <w:bCs/>
        </w:rPr>
        <w:t>A</w:t>
      </w:r>
      <w:r w:rsidR="000027E2" w:rsidRPr="00E672B8">
        <w:rPr>
          <w:bCs/>
        </w:rPr>
        <w:t>-I</w:t>
      </w:r>
      <w:r w:rsidR="00081B42" w:rsidRPr="00E672B8">
        <w:rPr>
          <w:bCs/>
        </w:rPr>
        <w:t>, Apo</w:t>
      </w:r>
      <w:r w:rsidR="000027E2" w:rsidRPr="00E672B8">
        <w:rPr>
          <w:bCs/>
        </w:rPr>
        <w:t xml:space="preserve"> </w:t>
      </w:r>
      <w:r w:rsidRPr="00E672B8">
        <w:rPr>
          <w:bCs/>
        </w:rPr>
        <w:t>B, PON1 activity</w:t>
      </w:r>
      <w:r w:rsidR="00081B42" w:rsidRPr="00E672B8">
        <w:rPr>
          <w:bCs/>
        </w:rPr>
        <w:t>, D-</w:t>
      </w:r>
      <w:r w:rsidR="003A4BF9" w:rsidRPr="00E672B8">
        <w:rPr>
          <w:bCs/>
        </w:rPr>
        <w:t>LDL</w:t>
      </w:r>
      <w:r w:rsidRPr="00E672B8">
        <w:rPr>
          <w:bCs/>
        </w:rPr>
        <w:t>-C and hsCRP and the results were presented as arithmetical mean and standard deviation</w:t>
      </w:r>
      <w:r w:rsidR="003A4BF9" w:rsidRPr="00E672B8">
        <w:rPr>
          <w:bCs/>
        </w:rPr>
        <w:t>.</w:t>
      </w:r>
      <w:r w:rsidR="00ED64FF" w:rsidRPr="00E672B8">
        <w:rPr>
          <w:bCs/>
        </w:rPr>
        <w:t xml:space="preserve"> </w:t>
      </w:r>
      <w:r w:rsidRPr="00E672B8">
        <w:rPr>
          <w:bCs/>
        </w:rPr>
        <w:t xml:space="preserve">The results are presented on Tables I and </w:t>
      </w:r>
      <w:r w:rsidR="00ED64FF" w:rsidRPr="00E672B8">
        <w:rPr>
          <w:bCs/>
        </w:rPr>
        <w:t>II</w:t>
      </w:r>
      <w:r w:rsidR="003A4BF9" w:rsidRPr="00E672B8">
        <w:rPr>
          <w:bCs/>
        </w:rPr>
        <w:t>.</w:t>
      </w:r>
    </w:p>
    <w:p w:rsidR="00ED64FF" w:rsidRPr="00E672B8" w:rsidRDefault="001931CC" w:rsidP="00E0580C">
      <w:pPr>
        <w:spacing w:line="480" w:lineRule="auto"/>
        <w:jc w:val="both"/>
      </w:pPr>
      <w:r w:rsidRPr="00E672B8">
        <w:t>Pearson correlation was used between the tests that were measured</w:t>
      </w:r>
      <w:r w:rsidR="00ED64FF" w:rsidRPr="00E672B8">
        <w:t xml:space="preserve">. </w:t>
      </w:r>
      <w:r w:rsidRPr="00E672B8">
        <w:t>Significant positive correlations were seen between Total cholesterol and</w:t>
      </w:r>
      <w:r w:rsidR="00ED64FF" w:rsidRPr="00E672B8">
        <w:t xml:space="preserve">  TG (r=0.614, p=0.000), Apo A-I (r=0.358, p=0.001), Apo B </w:t>
      </w:r>
      <w:r w:rsidRPr="00E672B8">
        <w:t>(r=0.840, p=0.000) and</w:t>
      </w:r>
      <w:r w:rsidR="00E04007" w:rsidRPr="00E672B8">
        <w:t xml:space="preserve"> D-LDL-C</w:t>
      </w:r>
      <w:r w:rsidR="00ED64FF" w:rsidRPr="00E672B8">
        <w:t xml:space="preserve"> (r=0.781, p=0.000)</w:t>
      </w:r>
      <w:r w:rsidRPr="00E672B8">
        <w:t>. Triglyceride was in negative correlation with HDL-C</w:t>
      </w:r>
      <w:r w:rsidR="00ED64FF" w:rsidRPr="00E672B8">
        <w:t xml:space="preserve"> </w:t>
      </w:r>
      <w:r w:rsidRPr="00E672B8">
        <w:t>(r=-0.281, p=0.007) and in positive correlation with</w:t>
      </w:r>
      <w:r w:rsidR="00ED64FF" w:rsidRPr="00E672B8">
        <w:t xml:space="preserve"> </w:t>
      </w:r>
      <w:r w:rsidR="00ED64FF" w:rsidRPr="00E672B8">
        <w:lastRenderedPageBreak/>
        <w:t>Apo B (r=0.677, p=0,000), HOMA-IR (r=0.353, p=0.001), D-LDL-</w:t>
      </w:r>
      <w:r w:rsidRPr="00E672B8">
        <w:t xml:space="preserve">C (r=0.512, p=0.000) and BMI </w:t>
      </w:r>
      <w:r w:rsidR="00ED64FF" w:rsidRPr="00E672B8">
        <w:t>(r=0.357, p=0.001).</w:t>
      </w:r>
    </w:p>
    <w:p w:rsidR="00ED64FF" w:rsidRPr="00E672B8" w:rsidRDefault="001931CC" w:rsidP="00E0580C">
      <w:pPr>
        <w:spacing w:line="480" w:lineRule="auto"/>
        <w:jc w:val="both"/>
      </w:pPr>
      <w:r w:rsidRPr="00E672B8">
        <w:t xml:space="preserve"> </w:t>
      </w:r>
      <w:r w:rsidRPr="00E672B8">
        <w:tab/>
        <w:t xml:space="preserve">HDL-C was in positive correlation with </w:t>
      </w:r>
      <w:r w:rsidR="00ED64FF" w:rsidRPr="00E672B8">
        <w:t xml:space="preserve">Apo A-I </w:t>
      </w:r>
      <w:r w:rsidRPr="00E672B8">
        <w:t>(r=0.817, p=0.000) and in negative correlation with  hsCRP (r=-0.237, p=0.025) and BMI</w:t>
      </w:r>
      <w:r w:rsidR="00ED64FF" w:rsidRPr="00E672B8">
        <w:t xml:space="preserve"> (r=-0.384, p=0.000). Apo B</w:t>
      </w:r>
      <w:r w:rsidRPr="00E672B8">
        <w:t xml:space="preserve"> was in positive correlation with D-LDL-C</w:t>
      </w:r>
      <w:r w:rsidR="00ED64FF" w:rsidRPr="00E672B8">
        <w:t xml:space="preserve"> </w:t>
      </w:r>
      <w:r w:rsidRPr="00E672B8">
        <w:t xml:space="preserve">(r=0.811, p=0.000) and BMI </w:t>
      </w:r>
      <w:r w:rsidR="00ED64FF" w:rsidRPr="00E672B8">
        <w:t xml:space="preserve">(r=0.284, p=0.007). </w:t>
      </w:r>
      <w:r w:rsidRPr="00E672B8">
        <w:t>A positive correlation was identified between HOMA-IR and BMI</w:t>
      </w:r>
      <w:r w:rsidR="00ED64FF" w:rsidRPr="00E672B8">
        <w:t xml:space="preserve"> (r=0.381, p=0.000). </w:t>
      </w:r>
      <w:r w:rsidRPr="00E672B8">
        <w:t>There were positive correlations between D-LDL-C and</w:t>
      </w:r>
      <w:r w:rsidR="00ED64FF" w:rsidRPr="00E672B8">
        <w:t xml:space="preserve"> hsCRP (r=0.262, p=0.013) </w:t>
      </w:r>
      <w:r w:rsidRPr="00E672B8">
        <w:t>and D-LDL-C</w:t>
      </w:r>
      <w:r w:rsidR="00ED64FF" w:rsidRPr="00E672B8">
        <w:t xml:space="preserve"> </w:t>
      </w:r>
      <w:r w:rsidRPr="00E672B8">
        <w:t xml:space="preserve">and BMI </w:t>
      </w:r>
      <w:r w:rsidR="00ED64FF" w:rsidRPr="00E672B8">
        <w:t xml:space="preserve">(r=0.399, p=0.000). </w:t>
      </w:r>
      <w:r w:rsidRPr="00E672B8">
        <w:t xml:space="preserve">A positive correlation was identified between BMI and </w:t>
      </w:r>
      <w:r w:rsidR="00ED64FF" w:rsidRPr="00E672B8">
        <w:t xml:space="preserve">hsCRP (r=0.570, p=0.000). </w:t>
      </w:r>
      <w:r w:rsidRPr="00E672B8">
        <w:t>The results are presented on Table</w:t>
      </w:r>
      <w:r w:rsidR="00ED64FF" w:rsidRPr="00E672B8">
        <w:t xml:space="preserve"> III.</w:t>
      </w:r>
    </w:p>
    <w:p w:rsidR="00ED64FF" w:rsidRPr="00E672B8" w:rsidRDefault="001931CC" w:rsidP="00E0580C">
      <w:pPr>
        <w:pStyle w:val="ListeParagraf2"/>
        <w:spacing w:line="480" w:lineRule="auto"/>
        <w:ind w:left="0" w:firstLine="709"/>
        <w:jc w:val="both"/>
        <w:rPr>
          <w:rFonts w:ascii="Times New Roman" w:hAnsi="Times New Roman"/>
          <w:sz w:val="24"/>
          <w:szCs w:val="24"/>
        </w:rPr>
      </w:pPr>
      <w:r w:rsidRPr="00E672B8">
        <w:rPr>
          <w:rFonts w:ascii="Times New Roman" w:hAnsi="Times New Roman"/>
          <w:sz w:val="24"/>
          <w:szCs w:val="24"/>
        </w:rPr>
        <w:t xml:space="preserve">When multiple linear regression analysis was performed for BMI and all other measured parameters, statistically significant differences were demonstrated </w:t>
      </w:r>
      <w:r w:rsidR="00ED64FF" w:rsidRPr="00E672B8">
        <w:rPr>
          <w:rFonts w:ascii="Times New Roman" w:hAnsi="Times New Roman"/>
          <w:sz w:val="24"/>
          <w:szCs w:val="24"/>
        </w:rPr>
        <w:t>(r</w:t>
      </w:r>
      <w:r w:rsidR="00ED64FF" w:rsidRPr="00E672B8">
        <w:rPr>
          <w:rFonts w:ascii="Times New Roman" w:hAnsi="Times New Roman"/>
          <w:sz w:val="24"/>
          <w:szCs w:val="24"/>
          <w:vertAlign w:val="superscript"/>
        </w:rPr>
        <w:t>2</w:t>
      </w:r>
      <w:r w:rsidRPr="00E672B8">
        <w:rPr>
          <w:rFonts w:ascii="Times New Roman" w:hAnsi="Times New Roman"/>
          <w:sz w:val="24"/>
          <w:szCs w:val="24"/>
        </w:rPr>
        <w:t>=0.524, p=0.000, BMI=23.24-0.003XTCH</w:t>
      </w:r>
      <w:r w:rsidR="00E32E4E" w:rsidRPr="00E672B8">
        <w:rPr>
          <w:rFonts w:ascii="Times New Roman" w:hAnsi="Times New Roman"/>
          <w:sz w:val="24"/>
          <w:szCs w:val="24"/>
        </w:rPr>
        <w:t>OL+0.010XTG-0.218XHDL-C</w:t>
      </w:r>
      <w:r w:rsidR="00ED64FF" w:rsidRPr="00E672B8">
        <w:rPr>
          <w:rFonts w:ascii="Times New Roman" w:hAnsi="Times New Roman"/>
          <w:sz w:val="24"/>
          <w:szCs w:val="24"/>
        </w:rPr>
        <w:t>+0.046XApoA-0.061XApoB- 0,014XPON1-0.000</w:t>
      </w:r>
      <w:r w:rsidR="00E32E4E" w:rsidRPr="00E672B8">
        <w:rPr>
          <w:rFonts w:ascii="Times New Roman" w:hAnsi="Times New Roman"/>
          <w:sz w:val="24"/>
          <w:szCs w:val="24"/>
        </w:rPr>
        <w:t>XARE+0.932 HOMA-IR+0,066XD-LDL-C</w:t>
      </w:r>
      <w:r w:rsidR="00ED64FF" w:rsidRPr="00E672B8">
        <w:rPr>
          <w:rFonts w:ascii="Times New Roman" w:hAnsi="Times New Roman"/>
          <w:sz w:val="24"/>
          <w:szCs w:val="24"/>
        </w:rPr>
        <w:t>+1,015XhsCRP).</w:t>
      </w:r>
    </w:p>
    <w:p w:rsidR="00ED64FF" w:rsidRDefault="00E32E4E" w:rsidP="00E0580C">
      <w:pPr>
        <w:pStyle w:val="ListeParagraf2"/>
        <w:spacing w:line="480" w:lineRule="auto"/>
        <w:ind w:left="0" w:firstLine="709"/>
        <w:jc w:val="both"/>
        <w:rPr>
          <w:rFonts w:ascii="Times New Roman" w:hAnsi="Times New Roman"/>
          <w:sz w:val="24"/>
          <w:szCs w:val="24"/>
        </w:rPr>
      </w:pPr>
      <w:r w:rsidRPr="00E672B8">
        <w:rPr>
          <w:rFonts w:ascii="Times New Roman" w:hAnsi="Times New Roman"/>
          <w:sz w:val="24"/>
          <w:szCs w:val="24"/>
        </w:rPr>
        <w:t xml:space="preserve">When the other parameters were analysed separately, the most statistically significant ones were BMI and </w:t>
      </w:r>
      <w:r w:rsidR="00ED64FF" w:rsidRPr="00E672B8">
        <w:rPr>
          <w:rFonts w:ascii="Times New Roman" w:hAnsi="Times New Roman"/>
          <w:sz w:val="24"/>
          <w:szCs w:val="24"/>
        </w:rPr>
        <w:t xml:space="preserve"> hsCRP (p=0,0</w:t>
      </w:r>
      <w:r w:rsidRPr="00E672B8">
        <w:rPr>
          <w:rFonts w:ascii="Times New Roman" w:hAnsi="Times New Roman"/>
          <w:sz w:val="24"/>
          <w:szCs w:val="24"/>
        </w:rPr>
        <w:t>00) and BMI and HOMA-IR index (P=0,006)</w:t>
      </w:r>
      <w:r w:rsidR="00ED64FF" w:rsidRPr="00E672B8">
        <w:rPr>
          <w:rFonts w:ascii="Times New Roman" w:hAnsi="Times New Roman"/>
          <w:sz w:val="24"/>
          <w:szCs w:val="24"/>
        </w:rPr>
        <w:t xml:space="preserve">. </w:t>
      </w:r>
      <w:r w:rsidRPr="00E672B8">
        <w:rPr>
          <w:rFonts w:ascii="Times New Roman" w:hAnsi="Times New Roman"/>
          <w:sz w:val="24"/>
          <w:szCs w:val="24"/>
        </w:rPr>
        <w:t>T</w:t>
      </w:r>
      <w:r w:rsidR="00253E6E">
        <w:rPr>
          <w:rFonts w:ascii="Times New Roman" w:hAnsi="Times New Roman"/>
          <w:sz w:val="24"/>
          <w:szCs w:val="24"/>
        </w:rPr>
        <w:t>he results are shown on  Table IV</w:t>
      </w:r>
      <w:r w:rsidR="00ED64FF" w:rsidRPr="00E672B8">
        <w:rPr>
          <w:rFonts w:ascii="Times New Roman" w:hAnsi="Times New Roman"/>
          <w:sz w:val="24"/>
          <w:szCs w:val="24"/>
        </w:rPr>
        <w:t>.</w:t>
      </w:r>
    </w:p>
    <w:p w:rsidR="001D7BB5" w:rsidRPr="001D7BB5" w:rsidRDefault="001D7BB5" w:rsidP="001D7BB5">
      <w:pPr>
        <w:pStyle w:val="ListeParagraf2"/>
        <w:spacing w:line="480" w:lineRule="auto"/>
        <w:ind w:left="0"/>
        <w:jc w:val="both"/>
        <w:rPr>
          <w:rFonts w:ascii="Times New Roman" w:hAnsi="Times New Roman"/>
          <w:b/>
          <w:sz w:val="28"/>
          <w:szCs w:val="28"/>
        </w:rPr>
      </w:pPr>
      <w:r w:rsidRPr="001D7BB5">
        <w:rPr>
          <w:rFonts w:ascii="Times New Roman" w:hAnsi="Times New Roman"/>
          <w:b/>
          <w:sz w:val="28"/>
          <w:szCs w:val="28"/>
        </w:rPr>
        <w:t>Discussion</w:t>
      </w:r>
    </w:p>
    <w:p w:rsidR="003417F1" w:rsidRPr="00E672B8" w:rsidRDefault="007E4497" w:rsidP="00E0580C">
      <w:pPr>
        <w:widowControl w:val="0"/>
        <w:autoSpaceDE w:val="0"/>
        <w:autoSpaceDN w:val="0"/>
        <w:adjustRightInd w:val="0"/>
        <w:spacing w:line="480" w:lineRule="auto"/>
        <w:ind w:firstLine="708"/>
        <w:jc w:val="both"/>
      </w:pPr>
      <w:r w:rsidRPr="00E672B8">
        <w:t>A</w:t>
      </w:r>
      <w:r w:rsidR="00E04007" w:rsidRPr="00E672B8">
        <w:t>t the heart</w:t>
      </w:r>
      <w:r w:rsidRPr="00E672B8">
        <w:t xml:space="preserve"> of the disease causing mechanisms related to obesity, lies the low degree inflammatory process triggered by the metabolic events </w:t>
      </w:r>
      <w:r w:rsidR="00150004">
        <w:rPr>
          <w:bCs/>
        </w:rPr>
        <w:t>(</w:t>
      </w:r>
      <w:r w:rsidR="001D7BB5">
        <w:rPr>
          <w:bCs/>
        </w:rPr>
        <w:t>1</w:t>
      </w:r>
      <w:r w:rsidR="00701001">
        <w:rPr>
          <w:bCs/>
        </w:rPr>
        <w:t>2</w:t>
      </w:r>
      <w:r w:rsidR="00150004">
        <w:rPr>
          <w:bCs/>
        </w:rPr>
        <w:t>)</w:t>
      </w:r>
      <w:r w:rsidR="001D7BB5" w:rsidRPr="00E672B8">
        <w:rPr>
          <w:bCs/>
        </w:rPr>
        <w:t xml:space="preserve">. </w:t>
      </w:r>
      <w:r w:rsidRPr="00E672B8">
        <w:t>Although, the changes in lipid and lipoprotein metaboli</w:t>
      </w:r>
      <w:r w:rsidR="00E04007" w:rsidRPr="00E672B8">
        <w:t>sms have been demonstrated in obese</w:t>
      </w:r>
      <w:r w:rsidRPr="00E672B8">
        <w:t xml:space="preserve"> cases, the level of PON1 ac</w:t>
      </w:r>
      <w:r w:rsidR="00E04007" w:rsidRPr="00E672B8">
        <w:t>tivity and its relationship to lipid metabolism is not</w:t>
      </w:r>
      <w:r w:rsidRPr="00E672B8">
        <w:t xml:space="preserve"> clear </w:t>
      </w:r>
      <w:r w:rsidR="00150004">
        <w:rPr>
          <w:bCs/>
        </w:rPr>
        <w:t>(</w:t>
      </w:r>
      <w:r w:rsidR="001D7BB5">
        <w:rPr>
          <w:bCs/>
        </w:rPr>
        <w:t>1</w:t>
      </w:r>
      <w:r w:rsidR="00701001">
        <w:rPr>
          <w:bCs/>
        </w:rPr>
        <w:t>3</w:t>
      </w:r>
      <w:r w:rsidR="001D7BB5">
        <w:rPr>
          <w:bCs/>
        </w:rPr>
        <w:t>-1</w:t>
      </w:r>
      <w:r w:rsidR="00701001">
        <w:rPr>
          <w:bCs/>
        </w:rPr>
        <w:t>4</w:t>
      </w:r>
      <w:r w:rsidR="00150004">
        <w:rPr>
          <w:bCs/>
        </w:rPr>
        <w:t>)</w:t>
      </w:r>
      <w:r w:rsidR="001D7BB5" w:rsidRPr="00E672B8">
        <w:rPr>
          <w:bCs/>
        </w:rPr>
        <w:t>.</w:t>
      </w:r>
      <w:r w:rsidR="003A4BF9" w:rsidRPr="00E672B8">
        <w:rPr>
          <w:color w:val="00274B"/>
        </w:rPr>
        <w:t xml:space="preserve"> </w:t>
      </w:r>
      <w:r w:rsidRPr="00E672B8">
        <w:t>In this study, the changes in PON1 activity in premenopausal abdominal and gynoid obesity groups were similar, changes have been shown in the D-LDL-C, HDL-C, TG and APOB components of the lipid panel together with changes in the levels of hsCRP</w:t>
      </w:r>
      <w:r w:rsidR="00E04007" w:rsidRPr="00E672B8">
        <w:t>,</w:t>
      </w:r>
      <w:r w:rsidRPr="00E672B8">
        <w:t xml:space="preserve"> which is an indicator for endothelial inflammation</w:t>
      </w:r>
      <w:r w:rsidR="003A4BF9" w:rsidRPr="00E672B8">
        <w:t>.</w:t>
      </w:r>
    </w:p>
    <w:p w:rsidR="00755078" w:rsidRPr="00E672B8" w:rsidRDefault="007E4497" w:rsidP="00755078">
      <w:pPr>
        <w:widowControl w:val="0"/>
        <w:autoSpaceDE w:val="0"/>
        <w:autoSpaceDN w:val="0"/>
        <w:adjustRightInd w:val="0"/>
        <w:spacing w:line="480" w:lineRule="auto"/>
        <w:ind w:firstLine="708"/>
        <w:jc w:val="both"/>
      </w:pPr>
      <w:r w:rsidRPr="00E672B8">
        <w:t>In a study analysing the effects of different</w:t>
      </w:r>
      <w:r w:rsidR="00E04007" w:rsidRPr="00E672B8">
        <w:t xml:space="preserve"> genetic and environmental facto</w:t>
      </w:r>
      <w:r w:rsidRPr="00E672B8">
        <w:t xml:space="preserve">rs on PON1 </w:t>
      </w:r>
      <w:r w:rsidRPr="00E672B8">
        <w:lastRenderedPageBreak/>
        <w:t>metabolism</w:t>
      </w:r>
      <w:r w:rsidR="00E04007" w:rsidRPr="00E672B8">
        <w:t>,</w:t>
      </w:r>
      <w:r w:rsidRPr="00E672B8">
        <w:t xml:space="preserve"> in addition to different substrates, Rainwater et al.</w:t>
      </w:r>
      <w:r w:rsidR="003A4BF9" w:rsidRPr="00E672B8">
        <w:t xml:space="preserve"> </w:t>
      </w:r>
      <w:r w:rsidRPr="00E672B8">
        <w:t xml:space="preserve">compared serum PON1 activity of 922 subjects by three different </w:t>
      </w:r>
      <w:r w:rsidR="00E04007" w:rsidRPr="00E672B8">
        <w:t>substrates as paraoxone, phenyl</w:t>
      </w:r>
      <w:r w:rsidR="00917EDA" w:rsidRPr="00E672B8">
        <w:t xml:space="preserve"> </w:t>
      </w:r>
      <w:r w:rsidRPr="00E672B8">
        <w:t>acetate and lactone dihydrocoumarine</w:t>
      </w:r>
      <w:r w:rsidR="00E672B8">
        <w:t xml:space="preserve"> </w:t>
      </w:r>
      <w:r w:rsidR="00150004">
        <w:rPr>
          <w:bCs/>
        </w:rPr>
        <w:t>(</w:t>
      </w:r>
      <w:r w:rsidR="001D7BB5">
        <w:rPr>
          <w:bCs/>
        </w:rPr>
        <w:t>1</w:t>
      </w:r>
      <w:r w:rsidR="00701001">
        <w:rPr>
          <w:bCs/>
        </w:rPr>
        <w:t>5</w:t>
      </w:r>
      <w:r w:rsidR="00150004">
        <w:rPr>
          <w:bCs/>
        </w:rPr>
        <w:t>)</w:t>
      </w:r>
      <w:r w:rsidR="001D7BB5" w:rsidRPr="00E672B8">
        <w:rPr>
          <w:bCs/>
        </w:rPr>
        <w:t xml:space="preserve">. </w:t>
      </w:r>
      <w:r w:rsidRPr="00E672B8">
        <w:t xml:space="preserve">Depending on the substrate, the activity differed up to 88-97%. </w:t>
      </w:r>
      <w:r w:rsidR="008F129B" w:rsidRPr="00E672B8">
        <w:t>B</w:t>
      </w:r>
      <w:r w:rsidRPr="00E672B8">
        <w:t>ased on the allele they were located</w:t>
      </w:r>
      <w:r w:rsidR="008F129B" w:rsidRPr="00E672B8">
        <w:t xml:space="preserve"> for PON1</w:t>
      </w:r>
      <w:r w:rsidRPr="00E672B8">
        <w:t xml:space="preserve"> activity</w:t>
      </w:r>
      <w:r w:rsidR="008F129B" w:rsidRPr="00E672B8">
        <w:t>, the order wa</w:t>
      </w:r>
      <w:r w:rsidRPr="00E672B8">
        <w:t>s as follo</w:t>
      </w:r>
      <w:r w:rsidR="008F129B" w:rsidRPr="00E672B8">
        <w:t xml:space="preserve">ws; </w:t>
      </w:r>
      <w:r w:rsidR="003A4BF9" w:rsidRPr="00E672B8">
        <w:t>QQ&lt; QR&lt; RR</w:t>
      </w:r>
      <w:r w:rsidR="008F129B" w:rsidRPr="00E672B8">
        <w:t xml:space="preserve"> and</w:t>
      </w:r>
      <w:r w:rsidR="003A4BF9" w:rsidRPr="00E672B8">
        <w:t xml:space="preserve"> MM&lt;</w:t>
      </w:r>
      <w:r w:rsidR="008F129B" w:rsidRPr="00E672B8">
        <w:t xml:space="preserve"> LM&lt; LL </w:t>
      </w:r>
      <w:r w:rsidR="00150004">
        <w:rPr>
          <w:bCs/>
        </w:rPr>
        <w:t>(</w:t>
      </w:r>
      <w:r w:rsidR="001D7BB5">
        <w:rPr>
          <w:bCs/>
        </w:rPr>
        <w:t>1</w:t>
      </w:r>
      <w:r w:rsidR="00701001">
        <w:rPr>
          <w:bCs/>
        </w:rPr>
        <w:t>6</w:t>
      </w:r>
      <w:r w:rsidR="00150004">
        <w:rPr>
          <w:bCs/>
        </w:rPr>
        <w:t>)</w:t>
      </w:r>
      <w:r w:rsidR="001D7BB5" w:rsidRPr="00E672B8">
        <w:rPr>
          <w:bCs/>
        </w:rPr>
        <w:t xml:space="preserve">. </w:t>
      </w:r>
      <w:r w:rsidR="00B94E99" w:rsidRPr="00E672B8">
        <w:t>Browne et al. conducted a study in which they analyzed</w:t>
      </w:r>
      <w:r w:rsidR="003A4BF9" w:rsidRPr="00E672B8">
        <w:t xml:space="preserve"> PON1 met</w:t>
      </w:r>
      <w:r w:rsidR="00B94E99" w:rsidRPr="00E672B8">
        <w:t>hod</w:t>
      </w:r>
      <w:r w:rsidR="003A4BF9" w:rsidRPr="00E672B8">
        <w:t xml:space="preserve"> </w:t>
      </w:r>
      <w:r w:rsidR="00B94E99" w:rsidRPr="00E672B8">
        <w:t>and its biological variation</w:t>
      </w:r>
      <w:r w:rsidR="00917EDA" w:rsidRPr="00E672B8">
        <w:t>s</w:t>
      </w:r>
      <w:r w:rsidR="003A4BF9" w:rsidRPr="00E672B8">
        <w:t xml:space="preserve">. </w:t>
      </w:r>
      <w:r w:rsidR="00B94E99" w:rsidRPr="00E672B8">
        <w:t>Human se</w:t>
      </w:r>
      <w:r w:rsidR="00917EDA" w:rsidRPr="00E672B8">
        <w:t>rum PON1 activity was measured i</w:t>
      </w:r>
      <w:r w:rsidR="00B94E99" w:rsidRPr="00E672B8">
        <w:t>n 70 individuals with Q192R polymorphisms  grouped as 41 (QQ), 31 (QR) and</w:t>
      </w:r>
      <w:r w:rsidR="003A4BF9" w:rsidRPr="00E672B8">
        <w:t xml:space="preserve"> 7 (RR) al</w:t>
      </w:r>
      <w:r w:rsidR="00B94E99" w:rsidRPr="00E672B8">
        <w:t>l</w:t>
      </w:r>
      <w:r w:rsidR="003A4BF9" w:rsidRPr="00E672B8">
        <w:t>el</w:t>
      </w:r>
      <w:r w:rsidR="00B94E99" w:rsidRPr="00E672B8">
        <w:t>es; five different kinetic measurements were performed as  paraoxonase activity, salt-stimulated paraoxonase activity, ARE activity with phenyl acetate</w:t>
      </w:r>
      <w:r w:rsidR="003A4BF9" w:rsidRPr="00E672B8">
        <w:t xml:space="preserve">, </w:t>
      </w:r>
      <w:r w:rsidR="00B94E99" w:rsidRPr="00E672B8">
        <w:t>ARE activity with p-nitrophenyl acetate and finally ARE activity with phenyl acetate and p-nitrophenyl acetate in an attempt to identif</w:t>
      </w:r>
      <w:r w:rsidR="00917EDA" w:rsidRPr="00E672B8">
        <w:t>y</w:t>
      </w:r>
      <w:r w:rsidR="00B94E99" w:rsidRPr="00E672B8">
        <w:t xml:space="preserve"> the activity difference</w:t>
      </w:r>
      <w:r w:rsidR="00917EDA" w:rsidRPr="00E672B8">
        <w:t>s</w:t>
      </w:r>
      <w:r w:rsidR="00B94E99" w:rsidRPr="00E672B8">
        <w:t xml:space="preserve"> between the methods. Based on the alleles, PON1 acitvity was as follows; </w:t>
      </w:r>
      <w:r w:rsidR="00917EDA" w:rsidRPr="00E672B8">
        <w:t xml:space="preserve">QQ&lt; QR&lt; </w:t>
      </w:r>
      <w:r w:rsidR="003A4BF9" w:rsidRPr="00E672B8">
        <w:t xml:space="preserve">RR. </w:t>
      </w:r>
      <w:r w:rsidR="00917EDA" w:rsidRPr="00E672B8">
        <w:t>In</w:t>
      </w:r>
      <w:r w:rsidR="00B94E99" w:rsidRPr="00E672B8">
        <w:t xml:space="preserve"> the biological variation study conducted on 17 individuals, they demonstrated the difference</w:t>
      </w:r>
      <w:r w:rsidR="00917EDA" w:rsidRPr="00E672B8">
        <w:t>s</w:t>
      </w:r>
      <w:r w:rsidR="00B94E99" w:rsidRPr="00E672B8">
        <w:t xml:space="preserve"> between the alleles </w:t>
      </w:r>
      <w:r w:rsidR="00150004">
        <w:rPr>
          <w:bCs/>
        </w:rPr>
        <w:t>(</w:t>
      </w:r>
      <w:r w:rsidR="001D7BB5">
        <w:rPr>
          <w:bCs/>
        </w:rPr>
        <w:t>1</w:t>
      </w:r>
      <w:r w:rsidR="00701001">
        <w:rPr>
          <w:bCs/>
        </w:rPr>
        <w:t>7</w:t>
      </w:r>
      <w:r w:rsidR="00150004">
        <w:rPr>
          <w:bCs/>
        </w:rPr>
        <w:t>)</w:t>
      </w:r>
      <w:r w:rsidR="001D7BB5" w:rsidRPr="00E672B8">
        <w:rPr>
          <w:bCs/>
        </w:rPr>
        <w:t xml:space="preserve">. </w:t>
      </w:r>
    </w:p>
    <w:p w:rsidR="00FB42E2" w:rsidRPr="00E672B8" w:rsidRDefault="00B94E99" w:rsidP="00020305">
      <w:pPr>
        <w:widowControl w:val="0"/>
        <w:tabs>
          <w:tab w:val="left" w:pos="5954"/>
        </w:tabs>
        <w:autoSpaceDE w:val="0"/>
        <w:autoSpaceDN w:val="0"/>
        <w:adjustRightInd w:val="0"/>
        <w:spacing w:line="480" w:lineRule="auto"/>
        <w:ind w:firstLine="708"/>
        <w:jc w:val="both"/>
      </w:pPr>
      <w:r w:rsidRPr="00E672B8">
        <w:t>Veiga and colleagues performed a study on 81 obese and 75 healthy Portuguese women. Th</w:t>
      </w:r>
      <w:r w:rsidR="00917EDA" w:rsidRPr="00E672B8">
        <w:t>ey measured the PON1 activity by</w:t>
      </w:r>
      <w:r w:rsidRPr="00E672B8">
        <w:t xml:space="preserve"> using paraoxone substrate, similar to findings of our study</w:t>
      </w:r>
      <w:r w:rsidR="00917EDA" w:rsidRPr="00E672B8">
        <w:t>,</w:t>
      </w:r>
      <w:r w:rsidRPr="00E672B8">
        <w:t xml:space="preserve"> they could not show any difference between the groups. </w:t>
      </w:r>
      <w:r w:rsidR="00EF3561" w:rsidRPr="00E672B8">
        <w:t xml:space="preserve">When all the </w:t>
      </w:r>
      <w:r w:rsidR="003A0099" w:rsidRPr="00E672B8">
        <w:t>samples were classified on the basis of Q192R and L55M polymorphisms, PON1 activity changed depending on the alleles as has been shown in other studies</w:t>
      </w:r>
      <w:r w:rsidR="003A4BF9" w:rsidRPr="00E672B8">
        <w:t xml:space="preserve">. </w:t>
      </w:r>
      <w:r w:rsidR="003A0099" w:rsidRPr="00E672B8">
        <w:t>Similar to our findings, in this study</w:t>
      </w:r>
      <w:r w:rsidR="00917EDA" w:rsidRPr="00E672B8">
        <w:t>,</w:t>
      </w:r>
      <w:r w:rsidR="003A0099" w:rsidRPr="00E672B8">
        <w:t xml:space="preserve"> obese group had increased levels of S</w:t>
      </w:r>
      <w:r w:rsidR="002149E6" w:rsidRPr="00E672B8">
        <w:t>B</w:t>
      </w:r>
      <w:r w:rsidR="003A0099" w:rsidRPr="00E672B8">
        <w:t>P, D</w:t>
      </w:r>
      <w:r w:rsidR="002149E6" w:rsidRPr="00E672B8">
        <w:t>B</w:t>
      </w:r>
      <w:r w:rsidR="003A0099" w:rsidRPr="00E672B8">
        <w:t>P, triglyceride and</w:t>
      </w:r>
      <w:r w:rsidR="003A4BF9" w:rsidRPr="00E672B8">
        <w:t xml:space="preserve"> hsCRP (</w:t>
      </w:r>
      <w:r w:rsidR="003A0099" w:rsidRPr="00E672B8">
        <w:t>a p&lt;0.001, p&lt;0.001, p&lt;0.001and</w:t>
      </w:r>
      <w:r w:rsidR="003A4BF9" w:rsidRPr="00E672B8">
        <w:t xml:space="preserve"> p&lt;0.001</w:t>
      </w:r>
      <w:r w:rsidR="003A0099" w:rsidRPr="00E672B8">
        <w:t xml:space="preserve"> respectively</w:t>
      </w:r>
      <w:r w:rsidR="003A4BF9" w:rsidRPr="00E672B8">
        <w:t xml:space="preserve">) </w:t>
      </w:r>
      <w:r w:rsidR="003A0099" w:rsidRPr="00E672B8">
        <w:t>and HDL-L level was decreased</w:t>
      </w:r>
      <w:r w:rsidR="003A4BF9" w:rsidRPr="00E672B8">
        <w:t xml:space="preserve"> (p&lt;0.001</w:t>
      </w:r>
      <w:r w:rsidR="003A0099" w:rsidRPr="00E672B8">
        <w:t>)</w:t>
      </w:r>
      <w:r w:rsidR="001D7BB5">
        <w:t xml:space="preserve"> </w:t>
      </w:r>
      <w:r w:rsidR="00150004">
        <w:rPr>
          <w:bCs/>
        </w:rPr>
        <w:t>(</w:t>
      </w:r>
      <w:r w:rsidR="001D7BB5">
        <w:rPr>
          <w:bCs/>
        </w:rPr>
        <w:t>1</w:t>
      </w:r>
      <w:r w:rsidR="00701001">
        <w:rPr>
          <w:bCs/>
        </w:rPr>
        <w:t>8</w:t>
      </w:r>
      <w:r w:rsidR="00150004">
        <w:rPr>
          <w:bCs/>
        </w:rPr>
        <w:t>)</w:t>
      </w:r>
      <w:r w:rsidR="001D7BB5" w:rsidRPr="00E672B8">
        <w:rPr>
          <w:bCs/>
        </w:rPr>
        <w:t xml:space="preserve">. </w:t>
      </w:r>
      <w:r w:rsidR="00020305" w:rsidRPr="00E672B8">
        <w:t xml:space="preserve"> </w:t>
      </w:r>
      <w:r w:rsidR="003A0099" w:rsidRPr="00E672B8">
        <w:t xml:space="preserve"> A study by </w:t>
      </w:r>
      <w:r w:rsidR="003A4BF9" w:rsidRPr="00E672B8">
        <w:t xml:space="preserve">Tabur </w:t>
      </w:r>
      <w:r w:rsidR="00917EDA" w:rsidRPr="00E672B8">
        <w:t>and colleagues including</w:t>
      </w:r>
      <w:r w:rsidR="003A0099" w:rsidRPr="00E672B8">
        <w:t xml:space="preserve"> 30 obese</w:t>
      </w:r>
      <w:r w:rsidR="003A4BF9" w:rsidRPr="00E672B8">
        <w:t xml:space="preserve"> </w:t>
      </w:r>
      <w:r w:rsidR="003A0099" w:rsidRPr="00E672B8">
        <w:t>and 40 non-diabetic metabolic</w:t>
      </w:r>
      <w:r w:rsidR="003A4BF9" w:rsidRPr="00E672B8">
        <w:t xml:space="preserve"> </w:t>
      </w:r>
      <w:r w:rsidR="003A0099" w:rsidRPr="00E672B8">
        <w:t xml:space="preserve">syndrome patients together with 30 control subjects </w:t>
      </w:r>
      <w:r w:rsidR="00857913" w:rsidRPr="00E672B8">
        <w:t>cou</w:t>
      </w:r>
      <w:r w:rsidR="00917EDA" w:rsidRPr="00E672B8">
        <w:t>ld not find a difference in PON1 a</w:t>
      </w:r>
      <w:r w:rsidR="00857913" w:rsidRPr="00E672B8">
        <w:t>ctivity between the groups and this is similar to our findings</w:t>
      </w:r>
      <w:r w:rsidR="001D7BB5">
        <w:t xml:space="preserve"> </w:t>
      </w:r>
      <w:r w:rsidR="00150004">
        <w:rPr>
          <w:bCs/>
        </w:rPr>
        <w:t>(4)</w:t>
      </w:r>
      <w:r w:rsidR="001D7BB5" w:rsidRPr="00E672B8">
        <w:rPr>
          <w:bCs/>
        </w:rPr>
        <w:t>.</w:t>
      </w:r>
    </w:p>
    <w:p w:rsidR="00020305" w:rsidRPr="00E672B8" w:rsidRDefault="00857913" w:rsidP="00020305">
      <w:pPr>
        <w:widowControl w:val="0"/>
        <w:autoSpaceDE w:val="0"/>
        <w:autoSpaceDN w:val="0"/>
        <w:adjustRightInd w:val="0"/>
        <w:spacing w:line="480" w:lineRule="auto"/>
        <w:ind w:firstLine="708"/>
        <w:jc w:val="both"/>
      </w:pPr>
      <w:r w:rsidRPr="00E672B8">
        <w:t>In a study by Seres et al. conducted on patients with adult and childhood obesity, adiponectin, resistin and PON1 ac</w:t>
      </w:r>
      <w:r w:rsidR="003A4BF9" w:rsidRPr="00E672B8">
        <w:t>tivit</w:t>
      </w:r>
      <w:r w:rsidRPr="00E672B8">
        <w:t>y were shown to have decreased</w:t>
      </w:r>
      <w:r w:rsidR="003A4BF9" w:rsidRPr="00E672B8">
        <w:t xml:space="preserve">. </w:t>
      </w:r>
      <w:r w:rsidRPr="00E672B8">
        <w:t xml:space="preserve">In this research study, </w:t>
      </w:r>
      <w:r w:rsidRPr="00E672B8">
        <w:lastRenderedPageBreak/>
        <w:t>the PON1 form with decreased activity was in Q192R polymorphism group; of the A and B isoenzymes, the activity was related to the B isoenzyme</w:t>
      </w:r>
      <w:r w:rsidR="003A4BF9" w:rsidRPr="00E672B8">
        <w:t xml:space="preserve"> </w:t>
      </w:r>
      <w:r w:rsidR="00150004">
        <w:rPr>
          <w:bCs/>
        </w:rPr>
        <w:t>(</w:t>
      </w:r>
      <w:r w:rsidR="001D7BB5">
        <w:rPr>
          <w:bCs/>
        </w:rPr>
        <w:t>1</w:t>
      </w:r>
      <w:r w:rsidR="00701001">
        <w:rPr>
          <w:bCs/>
        </w:rPr>
        <w:t>3</w:t>
      </w:r>
      <w:r w:rsidR="00150004">
        <w:rPr>
          <w:bCs/>
        </w:rPr>
        <w:t>)</w:t>
      </w:r>
      <w:r w:rsidR="001D7BB5" w:rsidRPr="00E672B8">
        <w:rPr>
          <w:bCs/>
        </w:rPr>
        <w:t xml:space="preserve">. </w:t>
      </w:r>
      <w:r w:rsidR="003A4BF9" w:rsidRPr="00E672B8">
        <w:t xml:space="preserve"> </w:t>
      </w:r>
      <w:r w:rsidR="00020305" w:rsidRPr="00E672B8">
        <w:t xml:space="preserve"> </w:t>
      </w:r>
      <w:r w:rsidRPr="00E672B8">
        <w:t xml:space="preserve">In a study by </w:t>
      </w:r>
      <w:r w:rsidR="003A4BF9" w:rsidRPr="00E672B8">
        <w:t xml:space="preserve">Ferretti </w:t>
      </w:r>
      <w:r w:rsidRPr="00E672B8">
        <w:t xml:space="preserve">et al., 30 obese and 62 control children were found to have decreased </w:t>
      </w:r>
      <w:r w:rsidR="003A4BF9" w:rsidRPr="00E672B8">
        <w:t xml:space="preserve"> </w:t>
      </w:r>
      <w:r w:rsidRPr="00E672B8">
        <w:t>PON1 ac</w:t>
      </w:r>
      <w:r w:rsidR="003A4BF9" w:rsidRPr="00E672B8">
        <w:t>tivit</w:t>
      </w:r>
      <w:r w:rsidRPr="00E672B8">
        <w:t xml:space="preserve">y </w:t>
      </w:r>
      <w:r w:rsidR="003A4BF9" w:rsidRPr="00E672B8">
        <w:t xml:space="preserve">(p&lt;0.05), </w:t>
      </w:r>
      <w:r w:rsidRPr="00E672B8">
        <w:t>increased ARE activity</w:t>
      </w:r>
      <w:r w:rsidR="003A4BF9" w:rsidRPr="00E672B8">
        <w:t xml:space="preserve"> (p&lt;0.01), </w:t>
      </w:r>
      <w:r w:rsidRPr="00E672B8">
        <w:t xml:space="preserve">increased </w:t>
      </w:r>
      <w:r w:rsidR="003A4BF9" w:rsidRPr="00E672B8">
        <w:t xml:space="preserve">leptin </w:t>
      </w:r>
      <w:r w:rsidRPr="00E672B8">
        <w:t>levels (p&lt;0.0001) and decreased adiponec</w:t>
      </w:r>
      <w:r w:rsidR="003A4BF9" w:rsidRPr="00E672B8">
        <w:t xml:space="preserve">tin </w:t>
      </w:r>
      <w:r w:rsidRPr="00E672B8">
        <w:t xml:space="preserve">levels </w:t>
      </w:r>
      <w:r w:rsidR="003A4BF9" w:rsidRPr="00E672B8">
        <w:t xml:space="preserve">(p&lt;0.001) </w:t>
      </w:r>
      <w:r w:rsidR="00150004">
        <w:rPr>
          <w:bCs/>
        </w:rPr>
        <w:t>(</w:t>
      </w:r>
      <w:r w:rsidR="00701001">
        <w:rPr>
          <w:bCs/>
        </w:rPr>
        <w:t>19</w:t>
      </w:r>
      <w:r w:rsidR="00150004">
        <w:rPr>
          <w:bCs/>
        </w:rPr>
        <w:t>)</w:t>
      </w:r>
      <w:r w:rsidR="001D7BB5" w:rsidRPr="00E672B8">
        <w:rPr>
          <w:bCs/>
        </w:rPr>
        <w:t xml:space="preserve">. </w:t>
      </w:r>
      <w:r w:rsidRPr="00E672B8">
        <w:t>The findings of this study do not correlate with ours</w:t>
      </w:r>
      <w:r w:rsidR="00020305" w:rsidRPr="00E672B8">
        <w:t xml:space="preserve">. </w:t>
      </w:r>
      <w:r w:rsidRPr="00E672B8">
        <w:t>As a specific polymorphism or allele was not chosen, the samples used in our study represented a heterogeneous group</w:t>
      </w:r>
      <w:r w:rsidR="00020305" w:rsidRPr="00E672B8">
        <w:t xml:space="preserve">. </w:t>
      </w:r>
      <w:r w:rsidR="00917EDA" w:rsidRPr="00E672B8">
        <w:t>In order not to</w:t>
      </w:r>
      <w:r w:rsidRPr="00E672B8">
        <w:t xml:space="preserve"> be influenced by other hormonal or metabolic problems, the obese group consisted of women at reproductive age</w:t>
      </w:r>
      <w:r w:rsidR="00917EDA" w:rsidRPr="00E672B8">
        <w:t>;</w:t>
      </w:r>
      <w:r w:rsidR="00CE6492" w:rsidRPr="00E672B8">
        <w:t xml:space="preserve"> furthermore these individuals did not have any diabetic, renal, hepatic or endocrine problems</w:t>
      </w:r>
      <w:r w:rsidR="00020305" w:rsidRPr="00E672B8">
        <w:t xml:space="preserve">. </w:t>
      </w:r>
      <w:r w:rsidR="00CE6492" w:rsidRPr="00E672B8">
        <w:t>Adding to all these limitations, the duration of obesity was considerably short and the number of patients was inadequate</w:t>
      </w:r>
      <w:r w:rsidR="00917EDA" w:rsidRPr="00E672B8">
        <w:t xml:space="preserve"> in our study</w:t>
      </w:r>
      <w:r w:rsidR="00020305" w:rsidRPr="00E672B8">
        <w:t>.</w:t>
      </w:r>
    </w:p>
    <w:p w:rsidR="003A4BF9" w:rsidRPr="00E672B8" w:rsidRDefault="00CE6492" w:rsidP="00E0580C">
      <w:pPr>
        <w:widowControl w:val="0"/>
        <w:autoSpaceDE w:val="0"/>
        <w:autoSpaceDN w:val="0"/>
        <w:adjustRightInd w:val="0"/>
        <w:spacing w:line="480" w:lineRule="auto"/>
        <w:ind w:firstLine="708"/>
        <w:jc w:val="both"/>
      </w:pPr>
      <w:r w:rsidRPr="00E672B8">
        <w:t xml:space="preserve">In a study by </w:t>
      </w:r>
      <w:r w:rsidR="003A4BF9" w:rsidRPr="00E672B8">
        <w:t xml:space="preserve">Ayer </w:t>
      </w:r>
      <w:r w:rsidRPr="00E672B8">
        <w:t xml:space="preserve">et al., 19 obese and 19 non-obese young individuals were recruited; the study included arterial dilatation with exogenous nitrate stimulation in a subgroup and these individuals had significantly high levels of </w:t>
      </w:r>
      <w:r w:rsidR="003A4BF9" w:rsidRPr="00E672B8">
        <w:t xml:space="preserve"> </w:t>
      </w:r>
      <w:r w:rsidRPr="00E672B8">
        <w:t>hsCRP and insu</w:t>
      </w:r>
      <w:r w:rsidR="003A4BF9" w:rsidRPr="00E672B8">
        <w:t>lin</w:t>
      </w:r>
      <w:r w:rsidRPr="00E672B8">
        <w:t xml:space="preserve"> together with low levels of </w:t>
      </w:r>
      <w:r w:rsidR="003A4BF9" w:rsidRPr="00E672B8">
        <w:t xml:space="preserve"> </w:t>
      </w:r>
      <w:r w:rsidRPr="00E672B8">
        <w:t>HDL-C</w:t>
      </w:r>
      <w:r w:rsidR="003A4BF9" w:rsidRPr="00E672B8">
        <w:t xml:space="preserve"> </w:t>
      </w:r>
      <w:r w:rsidR="00150004">
        <w:rPr>
          <w:bCs/>
        </w:rPr>
        <w:t>(</w:t>
      </w:r>
      <w:r w:rsidR="001D7BB5">
        <w:rPr>
          <w:bCs/>
        </w:rPr>
        <w:t>2</w:t>
      </w:r>
      <w:r w:rsidR="00701001">
        <w:rPr>
          <w:bCs/>
        </w:rPr>
        <w:t>0</w:t>
      </w:r>
      <w:r w:rsidR="00150004">
        <w:rPr>
          <w:bCs/>
        </w:rPr>
        <w:t>)</w:t>
      </w:r>
      <w:r w:rsidR="001D7BB5" w:rsidRPr="00E672B8">
        <w:rPr>
          <w:bCs/>
        </w:rPr>
        <w:t xml:space="preserve">. </w:t>
      </w:r>
      <w:r w:rsidRPr="00E672B8">
        <w:t>In studies performed with the aim of identifying the correlation between calculated and direct LDL-C, for providing guidance in antilipemic therapy, direct measurements proved to be more valuable</w:t>
      </w:r>
      <w:r w:rsidR="00917EDA" w:rsidRPr="00E672B8">
        <w:t xml:space="preserve"> </w:t>
      </w:r>
      <w:r w:rsidR="00150004">
        <w:rPr>
          <w:bCs/>
        </w:rPr>
        <w:t>(</w:t>
      </w:r>
      <w:r w:rsidR="00701001">
        <w:rPr>
          <w:bCs/>
        </w:rPr>
        <w:t>21-22</w:t>
      </w:r>
      <w:r w:rsidR="00150004">
        <w:rPr>
          <w:bCs/>
        </w:rPr>
        <w:t>)</w:t>
      </w:r>
      <w:r w:rsidR="001D7BB5" w:rsidRPr="00E672B8">
        <w:rPr>
          <w:bCs/>
        </w:rPr>
        <w:t xml:space="preserve">. </w:t>
      </w:r>
      <w:r w:rsidRPr="00E672B8">
        <w:t>In our study, we also preferred direct LDL-C</w:t>
      </w:r>
      <w:r w:rsidR="00406FFD" w:rsidRPr="00E672B8">
        <w:t>.</w:t>
      </w:r>
    </w:p>
    <w:p w:rsidR="003A4BF9" w:rsidRPr="00E672B8" w:rsidRDefault="00CE6492" w:rsidP="00E0580C">
      <w:pPr>
        <w:widowControl w:val="0"/>
        <w:autoSpaceDE w:val="0"/>
        <w:autoSpaceDN w:val="0"/>
        <w:adjustRightInd w:val="0"/>
        <w:spacing w:line="480" w:lineRule="auto"/>
        <w:ind w:firstLine="708"/>
        <w:jc w:val="both"/>
      </w:pPr>
      <w:r w:rsidRPr="00E672B8">
        <w:t xml:space="preserve">In a study by </w:t>
      </w:r>
      <w:r w:rsidR="003A4BF9" w:rsidRPr="00E672B8">
        <w:t xml:space="preserve">Revenga-Faruca </w:t>
      </w:r>
      <w:r w:rsidRPr="00E672B8">
        <w:t>et al. on obese</w:t>
      </w:r>
      <w:r w:rsidR="003A4BF9" w:rsidRPr="00E672B8">
        <w:t xml:space="preserve"> </w:t>
      </w:r>
      <w:r w:rsidRPr="00E672B8">
        <w:t xml:space="preserve"> children </w:t>
      </w:r>
      <w:r w:rsidR="003A4BF9" w:rsidRPr="00E672B8">
        <w:t xml:space="preserve">(126) </w:t>
      </w:r>
      <w:r w:rsidRPr="00E672B8">
        <w:t xml:space="preserve">and adolescents </w:t>
      </w:r>
      <w:r w:rsidR="003A4BF9" w:rsidRPr="00E672B8">
        <w:t>(60</w:t>
      </w:r>
      <w:r w:rsidRPr="00E672B8">
        <w:t xml:space="preserve"> boys ve 66 girls</w:t>
      </w:r>
      <w:r w:rsidR="003A4BF9" w:rsidRPr="00E672B8">
        <w:t>)</w:t>
      </w:r>
      <w:r w:rsidRPr="00E672B8">
        <w:t xml:space="preserve">, when </w:t>
      </w:r>
      <w:r w:rsidR="00FA729A" w:rsidRPr="00E672B8">
        <w:t>belly fat and metabolic risks were analyzed, similar to our study, differences were shown in the levels of insu</w:t>
      </w:r>
      <w:r w:rsidR="00DE7E20" w:rsidRPr="00E672B8">
        <w:t>lin CRP, TG</w:t>
      </w:r>
      <w:r w:rsidR="00FA729A" w:rsidRPr="00E672B8">
        <w:t xml:space="preserve"> and HDL-C levels </w:t>
      </w:r>
      <w:r w:rsidR="003A4BF9" w:rsidRPr="00E672B8">
        <w:t xml:space="preserve"> </w:t>
      </w:r>
      <w:r w:rsidR="00150004">
        <w:rPr>
          <w:bCs/>
        </w:rPr>
        <w:t>(</w:t>
      </w:r>
      <w:r w:rsidR="00701001">
        <w:rPr>
          <w:bCs/>
        </w:rPr>
        <w:t>23</w:t>
      </w:r>
      <w:r w:rsidR="00150004">
        <w:rPr>
          <w:bCs/>
        </w:rPr>
        <w:t>)</w:t>
      </w:r>
      <w:r w:rsidR="001D7BB5" w:rsidRPr="00E672B8">
        <w:rPr>
          <w:bCs/>
        </w:rPr>
        <w:t xml:space="preserve">. </w:t>
      </w:r>
    </w:p>
    <w:p w:rsidR="00755078" w:rsidRPr="00E672B8" w:rsidRDefault="00FA729A" w:rsidP="00755078">
      <w:pPr>
        <w:widowControl w:val="0"/>
        <w:autoSpaceDE w:val="0"/>
        <w:autoSpaceDN w:val="0"/>
        <w:adjustRightInd w:val="0"/>
        <w:spacing w:line="480" w:lineRule="auto"/>
        <w:ind w:firstLine="708"/>
        <w:jc w:val="both"/>
      </w:pPr>
      <w:r w:rsidRPr="00E672B8">
        <w:t>The studies performed in the field show that</w:t>
      </w:r>
      <w:r w:rsidR="00917EDA" w:rsidRPr="00E672B8">
        <w:t xml:space="preserve"> abdominal obesity has higher c</w:t>
      </w:r>
      <w:r w:rsidRPr="00E672B8">
        <w:t xml:space="preserve">ardiometabolic risks than gynoid obesity </w:t>
      </w:r>
      <w:r w:rsidR="00150004">
        <w:rPr>
          <w:bCs/>
        </w:rPr>
        <w:t>(</w:t>
      </w:r>
      <w:r w:rsidR="00701001">
        <w:rPr>
          <w:bCs/>
        </w:rPr>
        <w:t>24-25</w:t>
      </w:r>
      <w:r w:rsidR="00150004">
        <w:rPr>
          <w:bCs/>
        </w:rPr>
        <w:t>)</w:t>
      </w:r>
      <w:r w:rsidR="001D7BB5" w:rsidRPr="00E672B8">
        <w:rPr>
          <w:bCs/>
        </w:rPr>
        <w:t xml:space="preserve">. </w:t>
      </w:r>
      <w:r w:rsidR="00917EDA" w:rsidRPr="00E672B8">
        <w:t>In our study, when we compa</w:t>
      </w:r>
      <w:r w:rsidRPr="00E672B8">
        <w:t>red the abdominal obe</w:t>
      </w:r>
      <w:r w:rsidR="00917EDA" w:rsidRPr="00E672B8">
        <w:t>sity group with controls; we</w:t>
      </w:r>
      <w:r w:rsidRPr="00E672B8">
        <w:t xml:space="preserve"> found that they had developed insulin resistance and that they had increased levels of </w:t>
      </w:r>
      <w:r w:rsidR="003A4BF9" w:rsidRPr="00E672B8">
        <w:t xml:space="preserve">TG, Apo B, </w:t>
      </w:r>
      <w:r w:rsidRPr="00E672B8">
        <w:t>D-LDL-C and</w:t>
      </w:r>
      <w:r w:rsidR="00DE7E20" w:rsidRPr="00E672B8">
        <w:t xml:space="preserve"> hsCRP</w:t>
      </w:r>
      <w:r w:rsidRPr="00E672B8">
        <w:t xml:space="preserve"> together with low</w:t>
      </w:r>
      <w:r w:rsidR="00DE7E20" w:rsidRPr="00E672B8">
        <w:t xml:space="preserve"> </w:t>
      </w:r>
      <w:r w:rsidR="00917EDA" w:rsidRPr="00E672B8">
        <w:t xml:space="preserve">levels of </w:t>
      </w:r>
      <w:r w:rsidR="00DE7E20" w:rsidRPr="00E672B8">
        <w:lastRenderedPageBreak/>
        <w:t>HDL</w:t>
      </w:r>
      <w:r w:rsidR="00917EDA" w:rsidRPr="00E672B8">
        <w:t>-C</w:t>
      </w:r>
      <w:r w:rsidR="001D4E75" w:rsidRPr="00E672B8">
        <w:t xml:space="preserve">. </w:t>
      </w:r>
      <w:r w:rsidRPr="00E672B8">
        <w:t>When gynoid obesity group was compared to controls, there was no insulin resistance, their D-LDL-C and</w:t>
      </w:r>
      <w:r w:rsidR="003A4BF9" w:rsidRPr="00E672B8">
        <w:t xml:space="preserve"> hsCRP </w:t>
      </w:r>
      <w:r w:rsidRPr="00E672B8">
        <w:t>levels were high and</w:t>
      </w:r>
      <w:r w:rsidR="003A4BF9" w:rsidRPr="00E672B8">
        <w:t xml:space="preserve"> HDL-</w:t>
      </w:r>
      <w:r w:rsidRPr="00E672B8">
        <w:t xml:space="preserve">C levels were low. </w:t>
      </w:r>
      <w:r w:rsidR="003A4BF9" w:rsidRPr="00E672B8">
        <w:t xml:space="preserve"> </w:t>
      </w:r>
      <w:r w:rsidRPr="00E672B8">
        <w:t>The insulin resistance seen in abdominal obesity is responsible for NIDDM, HT and</w:t>
      </w:r>
      <w:r w:rsidR="00755078" w:rsidRPr="00E672B8">
        <w:t xml:space="preserve"> </w:t>
      </w:r>
      <w:r w:rsidRPr="00E672B8">
        <w:t xml:space="preserve">CVD </w:t>
      </w:r>
      <w:r w:rsidR="00150004">
        <w:rPr>
          <w:bCs/>
        </w:rPr>
        <w:t>(</w:t>
      </w:r>
      <w:r w:rsidR="00701001">
        <w:rPr>
          <w:bCs/>
        </w:rPr>
        <w:t>26</w:t>
      </w:r>
      <w:r w:rsidR="00150004">
        <w:rPr>
          <w:bCs/>
        </w:rPr>
        <w:t>)</w:t>
      </w:r>
      <w:r w:rsidR="001D7BB5" w:rsidRPr="00E672B8">
        <w:rPr>
          <w:bCs/>
        </w:rPr>
        <w:t xml:space="preserve">. </w:t>
      </w:r>
      <w:r w:rsidR="00755078" w:rsidRPr="00E672B8">
        <w:t xml:space="preserve"> </w:t>
      </w:r>
      <w:r w:rsidRPr="00E672B8">
        <w:t xml:space="preserve">When we compared the two obese groups with each other in our study, there was a statistically significant difference for </w:t>
      </w:r>
      <w:r w:rsidR="00755078" w:rsidRPr="00E672B8">
        <w:t xml:space="preserve">HOMA-IR. </w:t>
      </w:r>
      <w:r w:rsidRPr="00E672B8">
        <w:t xml:space="preserve">Only abdominal obesity group was shown to have developed insulin resistance (&gt; 2.7). In our study, the frequency of those with </w:t>
      </w:r>
      <w:r w:rsidR="00755078" w:rsidRPr="00E672B8">
        <w:t>HOMA</w:t>
      </w:r>
      <w:r w:rsidRPr="00E672B8">
        <w:t>-IR of</w:t>
      </w:r>
      <w:r w:rsidR="00755078" w:rsidRPr="00E672B8">
        <w:t xml:space="preserve"> &gt; 2.7</w:t>
      </w:r>
      <w:r w:rsidRPr="00E672B8">
        <w:t>, was</w:t>
      </w:r>
      <w:r w:rsidR="00755078" w:rsidRPr="00E672B8">
        <w:t xml:space="preserve"> 53</w:t>
      </w:r>
      <w:r w:rsidRPr="00E672B8">
        <w:t>%</w:t>
      </w:r>
      <w:r w:rsidR="00755078" w:rsidRPr="00E672B8">
        <w:t xml:space="preserve"> (n=16)</w:t>
      </w:r>
      <w:r w:rsidRPr="00E672B8">
        <w:t xml:space="preserve"> in the abdominal obesity group and </w:t>
      </w:r>
      <w:r w:rsidR="00755078" w:rsidRPr="00E672B8">
        <w:t>46</w:t>
      </w:r>
      <w:r w:rsidRPr="00E672B8">
        <w:t>%</w:t>
      </w:r>
      <w:r w:rsidR="00755078" w:rsidRPr="00E672B8">
        <w:t xml:space="preserve"> (n=14)</w:t>
      </w:r>
      <w:r w:rsidR="001D7BB5">
        <w:t xml:space="preserve"> </w:t>
      </w:r>
      <w:r w:rsidRPr="00E672B8">
        <w:t>in gynoid obese group</w:t>
      </w:r>
      <w:r w:rsidR="00755078" w:rsidRPr="00E672B8">
        <w:t xml:space="preserve">. </w:t>
      </w:r>
    </w:p>
    <w:p w:rsidR="003A4BF9" w:rsidRPr="00E672B8" w:rsidRDefault="00FA729A" w:rsidP="00E0580C">
      <w:pPr>
        <w:widowControl w:val="0"/>
        <w:autoSpaceDE w:val="0"/>
        <w:autoSpaceDN w:val="0"/>
        <w:adjustRightInd w:val="0"/>
        <w:spacing w:line="480" w:lineRule="auto"/>
        <w:ind w:firstLine="708"/>
        <w:jc w:val="both"/>
      </w:pPr>
      <w:r w:rsidRPr="00E672B8">
        <w:t>When we analyzed the relationship of PON1 to lipid metabolism in obese women</w:t>
      </w:r>
      <w:r w:rsidR="00917EDA" w:rsidRPr="00E672B8">
        <w:t>,</w:t>
      </w:r>
      <w:r w:rsidRPr="00E672B8">
        <w:t xml:space="preserve"> we arrived at the following conclusions: </w:t>
      </w:r>
    </w:p>
    <w:p w:rsidR="003A4BF9" w:rsidRPr="00E672B8" w:rsidRDefault="00DE7E20" w:rsidP="00E0580C">
      <w:pPr>
        <w:tabs>
          <w:tab w:val="left" w:pos="180"/>
          <w:tab w:val="left" w:pos="360"/>
        </w:tabs>
        <w:spacing w:line="480" w:lineRule="auto"/>
        <w:jc w:val="both"/>
      </w:pPr>
      <w:r w:rsidRPr="00E672B8">
        <w:tab/>
      </w:r>
      <w:r w:rsidRPr="00E672B8">
        <w:tab/>
      </w:r>
      <w:r w:rsidRPr="00E672B8">
        <w:tab/>
        <w:t>PON1</w:t>
      </w:r>
      <w:r w:rsidR="003A4BF9" w:rsidRPr="00E672B8">
        <w:t xml:space="preserve"> </w:t>
      </w:r>
      <w:r w:rsidR="00715537" w:rsidRPr="00E672B8">
        <w:t xml:space="preserve">activity </w:t>
      </w:r>
      <w:r w:rsidR="00FA729A" w:rsidRPr="00E672B8">
        <w:t xml:space="preserve">was similar between </w:t>
      </w:r>
      <w:r w:rsidR="00AA1F1A" w:rsidRPr="00E672B8">
        <w:t>the groups</w:t>
      </w:r>
      <w:r w:rsidRPr="00E672B8">
        <w:t xml:space="preserve">. PON1 </w:t>
      </w:r>
      <w:r w:rsidR="00715537" w:rsidRPr="00E672B8">
        <w:t>acitivity might be measured</w:t>
      </w:r>
      <w:r w:rsidR="00AD6424" w:rsidRPr="00E672B8">
        <w:t xml:space="preserve"> by different methods and can be influenced by polymorphism</w:t>
      </w:r>
      <w:r w:rsidR="00917EDA" w:rsidRPr="00E672B8">
        <w:t>s</w:t>
      </w:r>
      <w:r w:rsidR="00AD6424" w:rsidRPr="00E672B8">
        <w:t xml:space="preserve"> even alleles</w:t>
      </w:r>
      <w:r w:rsidR="003A4BF9" w:rsidRPr="00E672B8">
        <w:t xml:space="preserve">. </w:t>
      </w:r>
      <w:r w:rsidR="00AD6424" w:rsidRPr="00E672B8">
        <w:t xml:space="preserve">Moreover, in the biological variation studies of these tests, as individual index was </w:t>
      </w:r>
      <w:r w:rsidR="003A4BF9" w:rsidRPr="00E672B8">
        <w:t>&lt;</w:t>
      </w:r>
      <w:r w:rsidR="004A3808" w:rsidRPr="00E672B8">
        <w:t xml:space="preserve"> </w:t>
      </w:r>
      <w:r w:rsidR="003A4BF9" w:rsidRPr="00E672B8">
        <w:t>0.6</w:t>
      </w:r>
      <w:r w:rsidR="00917EDA" w:rsidRPr="00E672B8">
        <w:t>;</w:t>
      </w:r>
      <w:r w:rsidR="00AD6424" w:rsidRPr="00E672B8">
        <w:t xml:space="preserve"> instead of choosing a reference range, the suggestion was to monitor individual differences</w:t>
      </w:r>
      <w:r w:rsidRPr="00E672B8">
        <w:t xml:space="preserve">. </w:t>
      </w:r>
      <w:r w:rsidR="00AD6424" w:rsidRPr="00E672B8">
        <w:t xml:space="preserve">When </w:t>
      </w:r>
      <w:r w:rsidRPr="00E672B8">
        <w:t xml:space="preserve">PON1 </w:t>
      </w:r>
      <w:r w:rsidR="00917EDA" w:rsidRPr="00E672B8">
        <w:t>activity wa</w:t>
      </w:r>
      <w:r w:rsidR="00AD6424" w:rsidRPr="00E672B8">
        <w:t>s being identified, for it to be affected minimally by demographical variables, women of similar age</w:t>
      </w:r>
      <w:r w:rsidR="003A4BF9" w:rsidRPr="00E672B8">
        <w:t xml:space="preserve"> </w:t>
      </w:r>
      <w:r w:rsidR="00AD6424" w:rsidRPr="00E672B8">
        <w:t>who did not smoke or use OCS were included in the study</w:t>
      </w:r>
      <w:r w:rsidRPr="00E672B8">
        <w:t xml:space="preserve">. PON1 </w:t>
      </w:r>
      <w:r w:rsidR="00AD6424" w:rsidRPr="00E672B8">
        <w:t>activity tests can only be monito</w:t>
      </w:r>
      <w:r w:rsidR="00917EDA" w:rsidRPr="00E672B8">
        <w:t>red for an individual for certai</w:t>
      </w:r>
      <w:r w:rsidR="00AD6424" w:rsidRPr="00E672B8">
        <w:t xml:space="preserve">n genotypes and by employing certain substrates. </w:t>
      </w:r>
    </w:p>
    <w:p w:rsidR="00675726" w:rsidRDefault="00586A74" w:rsidP="00E52882">
      <w:pPr>
        <w:widowControl w:val="0"/>
        <w:autoSpaceDE w:val="0"/>
        <w:autoSpaceDN w:val="0"/>
        <w:adjustRightInd w:val="0"/>
        <w:spacing w:line="480" w:lineRule="auto"/>
        <w:ind w:firstLine="708"/>
        <w:jc w:val="both"/>
      </w:pPr>
      <w:r w:rsidRPr="00E672B8">
        <w:t>Abdominal obesity group was shown to have developed insulin resistance. When compared with the controls, abdominal obesity group had</w:t>
      </w:r>
      <w:r w:rsidR="003A4BF9" w:rsidRPr="00E672B8">
        <w:t xml:space="preserve"> </w:t>
      </w:r>
      <w:r w:rsidRPr="00E672B8">
        <w:t>high</w:t>
      </w:r>
      <w:r w:rsidR="00917EDA" w:rsidRPr="00E672B8">
        <w:t>er</w:t>
      </w:r>
      <w:r w:rsidRPr="00E672B8">
        <w:t xml:space="preserve"> levels of TG, ApoB, D-LDL-C and</w:t>
      </w:r>
      <w:r w:rsidR="003A4BF9" w:rsidRPr="00E672B8">
        <w:t xml:space="preserve"> hsCRP </w:t>
      </w:r>
      <w:r w:rsidRPr="00E672B8">
        <w:t>and low levels of HDL-C; gy</w:t>
      </w:r>
      <w:r w:rsidR="001D4E75" w:rsidRPr="00E672B8">
        <w:t>n</w:t>
      </w:r>
      <w:r w:rsidRPr="00E672B8">
        <w:t xml:space="preserve">oid obesity group had high levels of  D-LDL-C and </w:t>
      </w:r>
      <w:r w:rsidR="003A4BF9" w:rsidRPr="00E672B8">
        <w:t xml:space="preserve"> hsCRP</w:t>
      </w:r>
      <w:r w:rsidRPr="00E672B8">
        <w:t xml:space="preserve"> and low levels of </w:t>
      </w:r>
      <w:r w:rsidR="003A4BF9" w:rsidRPr="00E672B8">
        <w:t xml:space="preserve"> </w:t>
      </w:r>
      <w:r w:rsidRPr="00E672B8">
        <w:t>HDL-C</w:t>
      </w:r>
      <w:r w:rsidR="001D4E75" w:rsidRPr="00E672B8">
        <w:t xml:space="preserve">. </w:t>
      </w:r>
      <w:r w:rsidRPr="00E672B8">
        <w:t>These results point out to the fact that metabolic dysfunction has started both in gynoid and abdominal obesity groups</w:t>
      </w:r>
      <w:r w:rsidR="003A4BF9" w:rsidRPr="00E672B8">
        <w:t xml:space="preserve">. </w:t>
      </w:r>
      <w:r w:rsidRPr="00E672B8">
        <w:t>This process has obviously affected abdominal obesity group more significantly. D-LDL-C is a marker that is currently used in clinical biochemistry labs, its levels were found to be high for both groups of obesity and was more significantly so in the abdominal obesity group; this is a new information that contributes to the literature and can be regarded as important for that very reason</w:t>
      </w:r>
      <w:r w:rsidR="003A4BF9" w:rsidRPr="00E672B8">
        <w:t>.</w:t>
      </w:r>
    </w:p>
    <w:p w:rsidR="00361C34" w:rsidRDefault="00361C34" w:rsidP="001D7BB5">
      <w:pPr>
        <w:widowControl w:val="0"/>
        <w:autoSpaceDE w:val="0"/>
        <w:autoSpaceDN w:val="0"/>
        <w:adjustRightInd w:val="0"/>
        <w:spacing w:line="480" w:lineRule="auto"/>
        <w:jc w:val="both"/>
        <w:rPr>
          <w:b/>
          <w:sz w:val="28"/>
          <w:szCs w:val="28"/>
        </w:rPr>
      </w:pPr>
      <w:r>
        <w:rPr>
          <w:b/>
          <w:sz w:val="28"/>
          <w:szCs w:val="28"/>
        </w:rPr>
        <w:lastRenderedPageBreak/>
        <w:t>Funding</w:t>
      </w:r>
    </w:p>
    <w:p w:rsidR="00361C34" w:rsidRPr="00454E23" w:rsidRDefault="00454E23" w:rsidP="001D7BB5">
      <w:pPr>
        <w:widowControl w:val="0"/>
        <w:autoSpaceDE w:val="0"/>
        <w:autoSpaceDN w:val="0"/>
        <w:adjustRightInd w:val="0"/>
        <w:spacing w:line="480" w:lineRule="auto"/>
        <w:jc w:val="both"/>
      </w:pPr>
      <w:r w:rsidRPr="00454E23">
        <w:t>This research has been</w:t>
      </w:r>
      <w:r w:rsidR="00361C34" w:rsidRPr="00454E23">
        <w:t xml:space="preserve"> supported by the Sci</w:t>
      </w:r>
      <w:r w:rsidRPr="00454E23">
        <w:t>entific Research Unit</w:t>
      </w:r>
      <w:r w:rsidR="00361C34" w:rsidRPr="00454E23">
        <w:t xml:space="preserve"> of Abant Izzat Baysal University (Project Number: </w:t>
      </w:r>
      <w:r w:rsidRPr="00454E23">
        <w:t>2008.08.01.296).</w:t>
      </w:r>
    </w:p>
    <w:p w:rsidR="00454E23" w:rsidRPr="005A2B33" w:rsidRDefault="005A2B33" w:rsidP="005A2B33">
      <w:pPr>
        <w:widowControl w:val="0"/>
        <w:autoSpaceDE w:val="0"/>
        <w:autoSpaceDN w:val="0"/>
        <w:adjustRightInd w:val="0"/>
        <w:spacing w:line="480" w:lineRule="auto"/>
        <w:jc w:val="both"/>
      </w:pPr>
      <w:r w:rsidRPr="005A2B33">
        <w:rPr>
          <w:b/>
          <w:sz w:val="28"/>
          <w:szCs w:val="28"/>
        </w:rPr>
        <w:t xml:space="preserve">Declaration of interest: </w:t>
      </w:r>
      <w:r w:rsidRPr="005A2B33">
        <w:t>The authors report no</w:t>
      </w:r>
      <w:r>
        <w:t xml:space="preserve"> </w:t>
      </w:r>
      <w:r w:rsidRPr="005A2B33">
        <w:t>conﬂicts of interest. The authors alone are responsible</w:t>
      </w:r>
      <w:r>
        <w:t xml:space="preserve"> </w:t>
      </w:r>
      <w:r w:rsidRPr="005A2B33">
        <w:t>for the content and writing of the paper.</w:t>
      </w:r>
    </w:p>
    <w:p w:rsidR="00454E23" w:rsidRPr="005A2B33" w:rsidRDefault="00454E23" w:rsidP="001D7BB5">
      <w:pPr>
        <w:widowControl w:val="0"/>
        <w:autoSpaceDE w:val="0"/>
        <w:autoSpaceDN w:val="0"/>
        <w:adjustRightInd w:val="0"/>
        <w:spacing w:line="480" w:lineRule="auto"/>
        <w:jc w:val="both"/>
      </w:pPr>
    </w:p>
    <w:p w:rsidR="00454E23" w:rsidRDefault="00454E23" w:rsidP="001D7BB5">
      <w:pPr>
        <w:widowControl w:val="0"/>
        <w:autoSpaceDE w:val="0"/>
        <w:autoSpaceDN w:val="0"/>
        <w:adjustRightInd w:val="0"/>
        <w:spacing w:line="480" w:lineRule="auto"/>
        <w:jc w:val="both"/>
        <w:rPr>
          <w:b/>
          <w:sz w:val="28"/>
          <w:szCs w:val="28"/>
        </w:rPr>
      </w:pPr>
    </w:p>
    <w:p w:rsidR="00454E23" w:rsidRDefault="00454E23" w:rsidP="001D7BB5">
      <w:pPr>
        <w:widowControl w:val="0"/>
        <w:autoSpaceDE w:val="0"/>
        <w:autoSpaceDN w:val="0"/>
        <w:adjustRightInd w:val="0"/>
        <w:spacing w:line="480" w:lineRule="auto"/>
        <w:jc w:val="both"/>
        <w:rPr>
          <w:b/>
          <w:sz w:val="28"/>
          <w:szCs w:val="28"/>
        </w:rPr>
      </w:pPr>
    </w:p>
    <w:p w:rsidR="00454E23" w:rsidRDefault="00454E23" w:rsidP="001D7BB5">
      <w:pPr>
        <w:widowControl w:val="0"/>
        <w:autoSpaceDE w:val="0"/>
        <w:autoSpaceDN w:val="0"/>
        <w:adjustRightInd w:val="0"/>
        <w:spacing w:line="480" w:lineRule="auto"/>
        <w:jc w:val="both"/>
        <w:rPr>
          <w:b/>
          <w:sz w:val="28"/>
          <w:szCs w:val="28"/>
        </w:rPr>
      </w:pPr>
    </w:p>
    <w:p w:rsidR="001D7BB5" w:rsidRPr="001D7BB5" w:rsidRDefault="001D7BB5" w:rsidP="001D7BB5">
      <w:pPr>
        <w:widowControl w:val="0"/>
        <w:autoSpaceDE w:val="0"/>
        <w:autoSpaceDN w:val="0"/>
        <w:adjustRightInd w:val="0"/>
        <w:spacing w:line="480" w:lineRule="auto"/>
        <w:jc w:val="both"/>
        <w:rPr>
          <w:b/>
          <w:sz w:val="28"/>
          <w:szCs w:val="28"/>
        </w:rPr>
      </w:pPr>
      <w:r w:rsidRPr="001D7BB5">
        <w:rPr>
          <w:b/>
          <w:sz w:val="28"/>
          <w:szCs w:val="28"/>
        </w:rPr>
        <w:t>References</w:t>
      </w:r>
    </w:p>
    <w:p w:rsidR="00731038" w:rsidRDefault="00E672B8" w:rsidP="00731038">
      <w:pPr>
        <w:numPr>
          <w:ilvl w:val="0"/>
          <w:numId w:val="13"/>
        </w:numPr>
        <w:spacing w:line="480" w:lineRule="auto"/>
        <w:jc w:val="both"/>
      </w:pPr>
      <w:r w:rsidRPr="00E672B8">
        <w:t xml:space="preserve">Ogden CL, Yanovski SZ, Carroll MD, Flegal KM. The epidemiology of obesity. </w:t>
      </w:r>
      <w:r w:rsidR="00F650BC">
        <w:t xml:space="preserve">    </w:t>
      </w:r>
      <w:r w:rsidRPr="00E672B8">
        <w:t>Gastroenterology</w:t>
      </w:r>
      <w:r w:rsidR="00B97870">
        <w:t xml:space="preserve"> </w:t>
      </w:r>
      <w:r w:rsidRPr="00E672B8">
        <w:t xml:space="preserve">2007; </w:t>
      </w:r>
      <w:r w:rsidR="00150004">
        <w:t>132: 2087–</w:t>
      </w:r>
      <w:r w:rsidRPr="00E672B8">
        <w:t>102.</w:t>
      </w:r>
    </w:p>
    <w:p w:rsidR="00822675" w:rsidRPr="00822675" w:rsidRDefault="00F650BC" w:rsidP="00731038">
      <w:pPr>
        <w:numPr>
          <w:ilvl w:val="0"/>
          <w:numId w:val="13"/>
        </w:numPr>
        <w:spacing w:line="480" w:lineRule="auto"/>
        <w:jc w:val="both"/>
      </w:pPr>
      <w:r w:rsidRPr="00731038">
        <w:rPr>
          <w:bCs/>
        </w:rPr>
        <w:t xml:space="preserve"> </w:t>
      </w:r>
      <w:r w:rsidR="00822675">
        <w:rPr>
          <w:bCs/>
        </w:rPr>
        <w:t>Kota SK, Meher LK, Kota SK, Jammula S, Krishna SVS. Implications of serum paraoxonase activity in obesity, diabetes mellitus, and dyslipidemia</w:t>
      </w:r>
      <w:r w:rsidR="00B97870">
        <w:rPr>
          <w:bCs/>
        </w:rPr>
        <w:t>. Indian J Endocrinol and Metab 2013; 17:</w:t>
      </w:r>
      <w:r w:rsidR="00822675">
        <w:rPr>
          <w:bCs/>
        </w:rPr>
        <w:t xml:space="preserve"> 402-12.</w:t>
      </w:r>
    </w:p>
    <w:p w:rsidR="00731038" w:rsidRDefault="00E672B8" w:rsidP="00731038">
      <w:pPr>
        <w:numPr>
          <w:ilvl w:val="0"/>
          <w:numId w:val="13"/>
        </w:numPr>
        <w:spacing w:line="480" w:lineRule="auto"/>
        <w:jc w:val="both"/>
      </w:pPr>
      <w:r w:rsidRPr="00E672B8">
        <w:t>Faraj M, Lavoie ME, Messier L, Bastard JP, Prud’homme D. Reduction in serum apoB is associated with reduced inflammation and insulin resistance in post-menopausal women: A MONET study. A</w:t>
      </w:r>
      <w:r w:rsidR="00F650BC">
        <w:t>therosclerosis 2010; 211: 682-</w:t>
      </w:r>
      <w:r w:rsidRPr="00E672B8">
        <w:t>8.</w:t>
      </w:r>
    </w:p>
    <w:p w:rsidR="00731038" w:rsidRDefault="00E672B8" w:rsidP="00731038">
      <w:pPr>
        <w:numPr>
          <w:ilvl w:val="0"/>
          <w:numId w:val="13"/>
        </w:numPr>
        <w:spacing w:line="480" w:lineRule="auto"/>
        <w:jc w:val="both"/>
      </w:pPr>
      <w:r w:rsidRPr="00731038">
        <w:rPr>
          <w:color w:val="000000"/>
        </w:rPr>
        <w:t>Tabur</w:t>
      </w:r>
      <w:r w:rsidR="00F650BC" w:rsidRPr="00731038">
        <w:rPr>
          <w:color w:val="000000"/>
        </w:rPr>
        <w:t xml:space="preserve"> S, Torun AN, Sabuncu T, </w:t>
      </w:r>
      <w:r w:rsidR="00F650BC">
        <w:t>Turan MN, Celik H, Ocak AR, et al.</w:t>
      </w:r>
      <w:r w:rsidR="00F650BC" w:rsidRPr="00E672B8">
        <w:t xml:space="preserve"> </w:t>
      </w:r>
      <w:r w:rsidRPr="00731038">
        <w:rPr>
          <w:color w:val="000000"/>
        </w:rPr>
        <w:t xml:space="preserve"> Non-diabetic metabolic syndrome and obesity do not affect serum paraoxonase and arylesterase activities but do affect oxidative s</w:t>
      </w:r>
      <w:r w:rsidR="00F650BC" w:rsidRPr="00731038">
        <w:rPr>
          <w:color w:val="000000"/>
        </w:rPr>
        <w:t>tress and inflammation. Eur Journal Endocrinol</w:t>
      </w:r>
      <w:r w:rsidR="00B97870">
        <w:rPr>
          <w:color w:val="000000"/>
        </w:rPr>
        <w:t xml:space="preserve"> </w:t>
      </w:r>
      <w:r w:rsidR="00F650BC" w:rsidRPr="00731038">
        <w:rPr>
          <w:color w:val="000000"/>
        </w:rPr>
        <w:t>2010; 162: 535-</w:t>
      </w:r>
      <w:r w:rsidRPr="00731038">
        <w:rPr>
          <w:color w:val="000000"/>
        </w:rPr>
        <w:t>41.</w:t>
      </w:r>
    </w:p>
    <w:p w:rsidR="00731038" w:rsidRDefault="004F7444" w:rsidP="00731038">
      <w:pPr>
        <w:numPr>
          <w:ilvl w:val="0"/>
          <w:numId w:val="13"/>
        </w:numPr>
        <w:spacing w:line="480" w:lineRule="auto"/>
        <w:jc w:val="both"/>
      </w:pPr>
      <w:r w:rsidRPr="00731038">
        <w:rPr>
          <w:bCs/>
        </w:rPr>
        <w:t xml:space="preserve"> </w:t>
      </w:r>
      <w:r w:rsidR="00E672B8" w:rsidRPr="00E672B8">
        <w:t>Furlong C</w:t>
      </w:r>
      <w:r w:rsidR="00F650BC">
        <w:t xml:space="preserve">E, Suzuki SM, Stevens RC, </w:t>
      </w:r>
      <w:r w:rsidR="00E672B8" w:rsidRPr="00E672B8">
        <w:t xml:space="preserve">Human PON1, a biomarker of risk of disease </w:t>
      </w:r>
      <w:r w:rsidR="00F650BC">
        <w:t xml:space="preserve">  </w:t>
      </w:r>
      <w:r w:rsidR="00E672B8" w:rsidRPr="00E672B8">
        <w:t>and exposure. Che</w:t>
      </w:r>
      <w:r w:rsidR="00B97870">
        <w:t>m Biol Interact</w:t>
      </w:r>
      <w:r w:rsidR="00150004">
        <w:t xml:space="preserve"> </w:t>
      </w:r>
      <w:r w:rsidR="00F650BC">
        <w:t>2010; 187: 355-</w:t>
      </w:r>
      <w:r w:rsidR="00E672B8" w:rsidRPr="00E672B8">
        <w:t>61.</w:t>
      </w:r>
    </w:p>
    <w:p w:rsidR="00731038" w:rsidRDefault="00E672B8" w:rsidP="00731038">
      <w:pPr>
        <w:numPr>
          <w:ilvl w:val="0"/>
          <w:numId w:val="13"/>
        </w:numPr>
        <w:spacing w:line="480" w:lineRule="auto"/>
        <w:jc w:val="both"/>
      </w:pPr>
      <w:r w:rsidRPr="00E672B8">
        <w:lastRenderedPageBreak/>
        <w:t xml:space="preserve">Dragonov DI </w:t>
      </w:r>
      <w:r w:rsidR="00F650BC">
        <w:t>and</w:t>
      </w:r>
      <w:r w:rsidRPr="00E672B8">
        <w:t xml:space="preserve"> </w:t>
      </w:r>
      <w:smartTag w:uri="urn:schemas-microsoft-com:office:smarttags" w:element="PersonName">
        <w:smartTagPr>
          <w:attr w:name="ProductID" w:val="La Du NB."/>
        </w:smartTagPr>
        <w:r w:rsidRPr="00E672B8">
          <w:t>La Du NB.</w:t>
        </w:r>
      </w:smartTag>
      <w:r w:rsidRPr="00E672B8">
        <w:t xml:space="preserve"> Pharmacogenetics of paraoxonases: a brief review. Naunyn-Schmiedeberg’s Arch Pharmocol 2004; 369: 78-88.</w:t>
      </w:r>
    </w:p>
    <w:p w:rsidR="00731038" w:rsidRDefault="00E672B8" w:rsidP="00731038">
      <w:pPr>
        <w:numPr>
          <w:ilvl w:val="0"/>
          <w:numId w:val="13"/>
        </w:numPr>
        <w:spacing w:line="480" w:lineRule="auto"/>
        <w:jc w:val="both"/>
      </w:pPr>
      <w:r w:rsidRPr="00E672B8">
        <w:t>Camps J, Marsillach J, Joven J. The paraoxonases: role in human diseases and methodological diffuculties in measurement. Crit Rev Clin Lab Sci 2009; 46:83-106.</w:t>
      </w:r>
    </w:p>
    <w:p w:rsidR="00731038" w:rsidRDefault="00E672B8" w:rsidP="00731038">
      <w:pPr>
        <w:numPr>
          <w:ilvl w:val="0"/>
          <w:numId w:val="13"/>
        </w:numPr>
        <w:spacing w:line="480" w:lineRule="auto"/>
        <w:jc w:val="both"/>
      </w:pPr>
      <w:r w:rsidRPr="00E672B8">
        <w:t xml:space="preserve">Chudek J ve Wiecek A. </w:t>
      </w:r>
      <w:r w:rsidRPr="00731038">
        <w:rPr>
          <w:bCs/>
        </w:rPr>
        <w:t>Adipose tissue, inflammation and endothelial dysfunction.</w:t>
      </w:r>
      <w:r w:rsidRPr="00E672B8">
        <w:t xml:space="preserve"> Pharmacol Rep</w:t>
      </w:r>
      <w:r w:rsidR="00B97870">
        <w:t xml:space="preserve"> </w:t>
      </w:r>
      <w:r w:rsidRPr="00E672B8">
        <w:t>2006; 58: 81-88.</w:t>
      </w:r>
    </w:p>
    <w:p w:rsidR="00731038" w:rsidRDefault="00E672B8" w:rsidP="00731038">
      <w:pPr>
        <w:numPr>
          <w:ilvl w:val="0"/>
          <w:numId w:val="13"/>
        </w:numPr>
        <w:spacing w:line="480" w:lineRule="auto"/>
        <w:jc w:val="both"/>
      </w:pPr>
      <w:r w:rsidRPr="00E672B8">
        <w:t>National Institutes of Health, National Heart, Lung, and Blood Institute: Clinical guidelines on the identification, evaluation, and treatment of overweight and obesity in adults-in evidence report. Obes Res 1998; 6: 51-209.</w:t>
      </w:r>
    </w:p>
    <w:p w:rsidR="00731038" w:rsidRDefault="00701001" w:rsidP="00731038">
      <w:pPr>
        <w:numPr>
          <w:ilvl w:val="0"/>
          <w:numId w:val="13"/>
        </w:numPr>
        <w:spacing w:line="480" w:lineRule="auto"/>
        <w:jc w:val="both"/>
      </w:pPr>
      <w:r w:rsidRPr="00731038">
        <w:rPr>
          <w:bCs/>
        </w:rPr>
        <w:t>M</w:t>
      </w:r>
      <w:r w:rsidR="00F650BC" w:rsidRPr="00731038">
        <w:rPr>
          <w:bCs/>
        </w:rPr>
        <w:t>atthews DR, Hosker JP, Rudenski AS, Naylor BA, Treacher BF, Turner RC.</w:t>
      </w:r>
      <w:r w:rsidRPr="00731038">
        <w:rPr>
          <w:bCs/>
        </w:rPr>
        <w:t xml:space="preserve"> Homeostasis model assesment: insulin resistance and β-cell function from fasting plasma glucose and insulin conce</w:t>
      </w:r>
      <w:r w:rsidR="00B97870">
        <w:rPr>
          <w:bCs/>
        </w:rPr>
        <w:t>ntrations in man. Diabeteologia</w:t>
      </w:r>
      <w:r w:rsidR="00150004">
        <w:rPr>
          <w:bCs/>
        </w:rPr>
        <w:t xml:space="preserve"> 1985; 28: 412-</w:t>
      </w:r>
      <w:r w:rsidRPr="00731038">
        <w:rPr>
          <w:bCs/>
        </w:rPr>
        <w:t>9</w:t>
      </w:r>
      <w:r w:rsidR="00150004">
        <w:rPr>
          <w:bCs/>
        </w:rPr>
        <w:t>.</w:t>
      </w:r>
    </w:p>
    <w:p w:rsidR="00731038" w:rsidRDefault="00E672B8" w:rsidP="00731038">
      <w:pPr>
        <w:numPr>
          <w:ilvl w:val="0"/>
          <w:numId w:val="13"/>
        </w:numPr>
        <w:spacing w:line="480" w:lineRule="auto"/>
        <w:jc w:val="both"/>
      </w:pPr>
      <w:r w:rsidRPr="00E672B8">
        <w:t>Salgado</w:t>
      </w:r>
      <w:r w:rsidR="00F650BC">
        <w:t xml:space="preserve"> JV, Neves FA, Bastos MG, Franca AK, Brito DJ, Santas EM</w:t>
      </w:r>
      <w:r w:rsidRPr="00E672B8">
        <w:t xml:space="preserve">. </w:t>
      </w:r>
      <w:r w:rsidR="00F650BC">
        <w:t xml:space="preserve"> </w:t>
      </w:r>
      <w:hyperlink r:id="rId10" w:history="1">
        <w:r w:rsidRPr="00731038">
          <w:rPr>
            <w:rStyle w:val="Kpr"/>
            <w:color w:val="auto"/>
            <w:u w:val="none"/>
          </w:rPr>
          <w:t>Monitoring renal function: measured and estimated glomerular filtration rates - a review.</w:t>
        </w:r>
      </w:hyperlink>
      <w:r w:rsidRPr="00E672B8">
        <w:t xml:space="preserve"> Braz J Med Biol Res</w:t>
      </w:r>
      <w:r w:rsidR="00B97870">
        <w:t xml:space="preserve"> </w:t>
      </w:r>
      <w:r w:rsidR="00150004">
        <w:t>2010; 43: 528-</w:t>
      </w:r>
      <w:r w:rsidRPr="00E672B8">
        <w:t>36.</w:t>
      </w:r>
    </w:p>
    <w:p w:rsidR="00731038" w:rsidRDefault="00B637B4" w:rsidP="00731038">
      <w:pPr>
        <w:numPr>
          <w:ilvl w:val="0"/>
          <w:numId w:val="13"/>
        </w:numPr>
        <w:spacing w:line="480" w:lineRule="auto"/>
        <w:jc w:val="both"/>
        <w:rPr>
          <w:rStyle w:val="src1"/>
          <w:specVanish w:val="0"/>
        </w:rPr>
      </w:pPr>
      <w:hyperlink r:id="rId11" w:history="1">
        <w:r w:rsidR="00E672B8" w:rsidRPr="00E672B8">
          <w:t>Monteiro R</w:t>
        </w:r>
      </w:hyperlink>
      <w:r w:rsidR="00F650BC">
        <w:t xml:space="preserve"> and</w:t>
      </w:r>
      <w:r w:rsidR="00E672B8" w:rsidRPr="00E672B8">
        <w:t xml:space="preserve"> </w:t>
      </w:r>
      <w:hyperlink r:id="rId12" w:history="1">
        <w:r w:rsidR="00E672B8" w:rsidRPr="00E672B8">
          <w:t>Azevedo I</w:t>
        </w:r>
      </w:hyperlink>
      <w:r w:rsidR="00E672B8" w:rsidRPr="00E672B8">
        <w:t>. Chronic inflammation in obesity and the me</w:t>
      </w:r>
      <w:r w:rsidR="00F650BC">
        <w:t>tabolic syndrome. Mediators of I</w:t>
      </w:r>
      <w:r w:rsidR="00E672B8" w:rsidRPr="00E672B8">
        <w:t>nflam</w:t>
      </w:r>
      <w:r w:rsidR="007320FD">
        <w:t>m</w:t>
      </w:r>
      <w:r w:rsidR="00E672B8" w:rsidRPr="00E672B8">
        <w:t>ation</w:t>
      </w:r>
      <w:r w:rsidR="00150004">
        <w:t xml:space="preserve"> </w:t>
      </w:r>
      <w:r w:rsidR="00E672B8" w:rsidRPr="00E672B8">
        <w:t xml:space="preserve">2010; </w:t>
      </w:r>
      <w:r w:rsidR="00E672B8" w:rsidRPr="00E672B8">
        <w:rPr>
          <w:rStyle w:val="src1"/>
        </w:rPr>
        <w:t xml:space="preserve"> </w:t>
      </w:r>
      <w:r w:rsidR="007320FD">
        <w:rPr>
          <w:rStyle w:val="src1"/>
        </w:rPr>
        <w:t>doi: 10.1155/2010</w:t>
      </w:r>
      <w:r w:rsidR="00E672B8" w:rsidRPr="00E672B8">
        <w:rPr>
          <w:rStyle w:val="src1"/>
        </w:rPr>
        <w:t xml:space="preserve"> 289645.</w:t>
      </w:r>
    </w:p>
    <w:p w:rsidR="00731038" w:rsidRDefault="00E672B8" w:rsidP="00731038">
      <w:pPr>
        <w:numPr>
          <w:ilvl w:val="0"/>
          <w:numId w:val="13"/>
        </w:numPr>
        <w:spacing w:line="480" w:lineRule="auto"/>
        <w:jc w:val="both"/>
      </w:pPr>
      <w:r w:rsidRPr="00E672B8">
        <w:t>Sere</w:t>
      </w:r>
      <w:r w:rsidR="007320FD">
        <w:t>s I, Bajnok L, Harangi M, Sztanek F, Koncsos P, Paragh G</w:t>
      </w:r>
      <w:r w:rsidRPr="00E672B8">
        <w:t xml:space="preserve">. Alteration of PON1 activity in adult and childhood </w:t>
      </w:r>
      <w:r w:rsidR="007320FD">
        <w:t xml:space="preserve"> </w:t>
      </w:r>
      <w:r w:rsidRPr="00E672B8">
        <w:t>obesity and its relation to adipokin</w:t>
      </w:r>
      <w:r w:rsidR="00B97870">
        <w:t>e levels. Adv Exp Med Biol 2010</w:t>
      </w:r>
      <w:r w:rsidRPr="00E672B8">
        <w:t xml:space="preserve"> 66</w:t>
      </w:r>
      <w:r w:rsidR="007320FD">
        <w:t>0: 129-</w:t>
      </w:r>
      <w:r w:rsidRPr="00E672B8">
        <w:t>42.</w:t>
      </w:r>
    </w:p>
    <w:p w:rsidR="00731038" w:rsidRDefault="00731038" w:rsidP="004F7444">
      <w:pPr>
        <w:numPr>
          <w:ilvl w:val="0"/>
          <w:numId w:val="13"/>
        </w:numPr>
        <w:spacing w:line="480" w:lineRule="auto"/>
        <w:jc w:val="both"/>
      </w:pPr>
      <w:r w:rsidRPr="00731038">
        <w:rPr>
          <w:bCs/>
        </w:rPr>
        <w:t>Tabak O, Gelişgen R, ÇCicekci H, ŞenateşE, Erdenen F, Müderrisoğlu C, Aral H, Uzun H. Circulating levels of adiponectin, orexin-A, ghrelin and the antioxidant paraoxonase-1 in metabolic sydrome. Minerva Med 2012; 103: 323-9.</w:t>
      </w:r>
    </w:p>
    <w:p w:rsidR="00E672B8" w:rsidRPr="004F7444" w:rsidRDefault="00E672B8" w:rsidP="004F7444">
      <w:pPr>
        <w:numPr>
          <w:ilvl w:val="0"/>
          <w:numId w:val="13"/>
        </w:numPr>
        <w:spacing w:line="480" w:lineRule="auto"/>
        <w:jc w:val="both"/>
      </w:pPr>
      <w:r w:rsidRPr="00731038">
        <w:rPr>
          <w:rFonts w:ascii="TimesNewRomanPSMT" w:hAnsi="TimesNewRomanPSMT" w:cs="TimesNewRomanPSMT"/>
        </w:rPr>
        <w:t>Rainwater DL, VandeBerg JL, Mahaney MC. Effects of diet on genetic regulation of</w:t>
      </w:r>
    </w:p>
    <w:p w:rsidR="00731038" w:rsidRDefault="00E672B8" w:rsidP="00731038">
      <w:pPr>
        <w:spacing w:line="480" w:lineRule="auto"/>
        <w:ind w:left="567" w:hanging="141"/>
        <w:jc w:val="both"/>
      </w:pPr>
      <w:r w:rsidRPr="004F7444">
        <w:rPr>
          <w:rFonts w:ascii="TimesNewRomanPSMT" w:hAnsi="TimesNewRomanPSMT" w:cs="TimesNewRomanPSMT"/>
        </w:rPr>
        <w:t>lipoprotein metabolism in baboons. Atherosclerosis 2010; 213: 499-504.</w:t>
      </w:r>
    </w:p>
    <w:p w:rsidR="00731038" w:rsidRDefault="00E672B8" w:rsidP="00731038">
      <w:pPr>
        <w:numPr>
          <w:ilvl w:val="0"/>
          <w:numId w:val="13"/>
        </w:numPr>
        <w:spacing w:line="480" w:lineRule="auto"/>
        <w:jc w:val="both"/>
      </w:pPr>
      <w:r w:rsidRPr="00E672B8">
        <w:lastRenderedPageBreak/>
        <w:t>Hong-Liang L, De-Pei L, Chihj-Chuan L. Paraoxonase gene polymorphisms, oxidative stress and dis</w:t>
      </w:r>
      <w:r w:rsidR="007320FD">
        <w:t>eases. J Mol Med 2003; 81: 766-</w:t>
      </w:r>
      <w:r w:rsidRPr="00E672B8">
        <w:t>79.</w:t>
      </w:r>
    </w:p>
    <w:p w:rsidR="00731038" w:rsidRDefault="004F7444" w:rsidP="00731038">
      <w:pPr>
        <w:numPr>
          <w:ilvl w:val="0"/>
          <w:numId w:val="13"/>
        </w:numPr>
        <w:spacing w:line="480" w:lineRule="auto"/>
        <w:jc w:val="both"/>
      </w:pPr>
      <w:r w:rsidRPr="00731038">
        <w:rPr>
          <w:bCs/>
        </w:rPr>
        <w:t xml:space="preserve"> </w:t>
      </w:r>
      <w:r w:rsidR="007320FD">
        <w:t>Browne RW, Koury ST, Marion S, Wilding G, Muti P, Trevisan M</w:t>
      </w:r>
      <w:r w:rsidR="00E672B8" w:rsidRPr="00E672B8">
        <w:t>. Accuracy and Biological Variation of Human Serum Praoxonase I Activity and Polymorphism (Q192R) b</w:t>
      </w:r>
      <w:r w:rsidR="007320FD">
        <w:t>y Kinetic Enzyme Assay. Clin Chem</w:t>
      </w:r>
      <w:r w:rsidR="00150004">
        <w:t xml:space="preserve"> 2007; 53: 310-</w:t>
      </w:r>
      <w:r w:rsidR="00E672B8" w:rsidRPr="00E672B8">
        <w:t>7.</w:t>
      </w:r>
    </w:p>
    <w:p w:rsidR="00731038" w:rsidRDefault="004F7444" w:rsidP="00731038">
      <w:pPr>
        <w:numPr>
          <w:ilvl w:val="0"/>
          <w:numId w:val="13"/>
        </w:numPr>
        <w:spacing w:line="480" w:lineRule="auto"/>
        <w:jc w:val="both"/>
      </w:pPr>
      <w:r w:rsidRPr="00731038">
        <w:rPr>
          <w:bCs/>
        </w:rPr>
        <w:t xml:space="preserve"> </w:t>
      </w:r>
      <w:r w:rsidR="007320FD">
        <w:t>Veiga L</w:t>
      </w:r>
      <w:r w:rsidR="00E672B8" w:rsidRPr="00E672B8">
        <w:t>,</w:t>
      </w:r>
      <w:r w:rsidR="007320FD">
        <w:t xml:space="preserve"> Silva-Nunes JA, Melão A, Olivera A, Duarte L, Brito M</w:t>
      </w:r>
      <w:r w:rsidR="00E672B8" w:rsidRPr="00E672B8">
        <w:t>. Q192R polymorphism of the paraoxonase-1 gene as a risk factor for obesity in Portuguese women. Eu</w:t>
      </w:r>
      <w:r w:rsidR="00546EA1">
        <w:t>r J Endocrinol</w:t>
      </w:r>
      <w:r w:rsidR="00B97870">
        <w:t xml:space="preserve"> 2011; 164:</w:t>
      </w:r>
      <w:r w:rsidR="00546EA1">
        <w:t xml:space="preserve"> 213-8.</w:t>
      </w:r>
    </w:p>
    <w:p w:rsidR="00731038" w:rsidRDefault="004F7444" w:rsidP="00731038">
      <w:pPr>
        <w:numPr>
          <w:ilvl w:val="0"/>
          <w:numId w:val="13"/>
        </w:numPr>
        <w:spacing w:line="480" w:lineRule="auto"/>
        <w:jc w:val="both"/>
      </w:pPr>
      <w:r w:rsidRPr="00731038">
        <w:rPr>
          <w:bCs/>
        </w:rPr>
        <w:t xml:space="preserve"> </w:t>
      </w:r>
      <w:r w:rsidR="00E672B8" w:rsidRPr="00E672B8">
        <w:t>Ferretti G, Bacchetti T, Masciangelo S, Biocchiega V. HDL-paraoxonase and membrane lipid peroxidaiton: a comparison between healthy and obese subjects. Obes</w:t>
      </w:r>
      <w:r w:rsidR="00546EA1">
        <w:t>ity 2010; 18: 1079-</w:t>
      </w:r>
      <w:r w:rsidR="00E672B8" w:rsidRPr="00E672B8">
        <w:t>84.</w:t>
      </w:r>
    </w:p>
    <w:p w:rsidR="00731038" w:rsidRDefault="00E672B8" w:rsidP="00731038">
      <w:pPr>
        <w:numPr>
          <w:ilvl w:val="0"/>
          <w:numId w:val="13"/>
        </w:numPr>
        <w:spacing w:line="480" w:lineRule="auto"/>
        <w:jc w:val="both"/>
      </w:pPr>
      <w:r w:rsidRPr="00E672B8">
        <w:t>Aye</w:t>
      </w:r>
      <w:r w:rsidR="00546EA1">
        <w:t>r JG, Harmer JA, David C, S Steinbeck K, Seale JP, Celermajer DS</w:t>
      </w:r>
      <w:r w:rsidRPr="00E672B8">
        <w:t xml:space="preserve">. Severe obesity is associated with impaired with arterial smooth muscle function in young adults. Obesity 2011; 19: 54-60. </w:t>
      </w:r>
    </w:p>
    <w:p w:rsidR="00731038" w:rsidRDefault="00E672B8" w:rsidP="00731038">
      <w:pPr>
        <w:numPr>
          <w:ilvl w:val="0"/>
          <w:numId w:val="13"/>
        </w:numPr>
        <w:spacing w:line="480" w:lineRule="auto"/>
        <w:jc w:val="both"/>
      </w:pPr>
      <w:r w:rsidRPr="00E672B8">
        <w:t xml:space="preserve">Agrawal M, Spencer HJ, Faas FH. Method of LDL cholesterol measurement influences classification of LDL cholesterol treatment goals: </w:t>
      </w:r>
      <w:r w:rsidR="00546EA1">
        <w:t>clinical research study. J Investig Med 2010; 58: 945-</w:t>
      </w:r>
      <w:r w:rsidRPr="00E672B8">
        <w:t>9.</w:t>
      </w:r>
    </w:p>
    <w:p w:rsidR="00731038" w:rsidRDefault="00E672B8" w:rsidP="00731038">
      <w:pPr>
        <w:numPr>
          <w:ilvl w:val="0"/>
          <w:numId w:val="13"/>
        </w:numPr>
        <w:spacing w:line="480" w:lineRule="auto"/>
        <w:jc w:val="both"/>
      </w:pPr>
      <w:r w:rsidRPr="00E672B8">
        <w:t>Otokoz</w:t>
      </w:r>
      <w:r w:rsidR="00546EA1">
        <w:t xml:space="preserve">awa S, Ai M, Asztalos BF, </w:t>
      </w:r>
      <w:r w:rsidRPr="00E672B8">
        <w:t>. Direct assessment of plazma low density lipoprotein and high density lipoprotein cholesterol levels and coronary h</w:t>
      </w:r>
      <w:r w:rsidR="00546EA1">
        <w:t>eart disease: results from the Framingham Offspring S</w:t>
      </w:r>
      <w:r w:rsidRPr="00E672B8">
        <w:t xml:space="preserve">tudy. </w:t>
      </w:r>
      <w:r w:rsidR="00546EA1">
        <w:t>Atherosclerosis 2010; 213: 251-</w:t>
      </w:r>
      <w:r w:rsidRPr="00E672B8">
        <w:t>65.</w:t>
      </w:r>
    </w:p>
    <w:p w:rsidR="00731038" w:rsidRDefault="004F7444" w:rsidP="00731038">
      <w:pPr>
        <w:numPr>
          <w:ilvl w:val="0"/>
          <w:numId w:val="13"/>
        </w:numPr>
        <w:spacing w:line="480" w:lineRule="auto"/>
        <w:jc w:val="both"/>
      </w:pPr>
      <w:r w:rsidRPr="00731038">
        <w:rPr>
          <w:bCs/>
        </w:rPr>
        <w:t xml:space="preserve"> </w:t>
      </w:r>
      <w:r w:rsidR="00E672B8" w:rsidRPr="00E672B8">
        <w:t>Revenga-Frauca J, Gonzale</w:t>
      </w:r>
      <w:r w:rsidR="00546EA1">
        <w:t>s-Gil EM, Bueno-Lozano G, De Miguel-Etayo P, Velasco-Martinez P, Rey Lopez JP</w:t>
      </w:r>
      <w:r w:rsidR="00E672B8" w:rsidRPr="00E672B8">
        <w:t>. Abdominal fat and metabolic risk in obese children and adolescents. J Physiol Biochem</w:t>
      </w:r>
      <w:r w:rsidR="00B97870">
        <w:t xml:space="preserve"> </w:t>
      </w:r>
      <w:r w:rsidR="00E672B8" w:rsidRPr="00E672B8">
        <w:t>2009; 65: 415-20.</w:t>
      </w:r>
    </w:p>
    <w:p w:rsidR="00731038" w:rsidRDefault="00546EA1" w:rsidP="00731038">
      <w:pPr>
        <w:numPr>
          <w:ilvl w:val="0"/>
          <w:numId w:val="13"/>
        </w:numPr>
        <w:spacing w:line="480" w:lineRule="auto"/>
        <w:jc w:val="both"/>
      </w:pPr>
      <w:r>
        <w:lastRenderedPageBreak/>
        <w:t>Souza FAC, Dias R, Fernandes CE, Pimentel F, Di</w:t>
      </w:r>
      <w:r w:rsidR="00E672B8" w:rsidRPr="00E672B8">
        <w:t xml:space="preserve">as D. Menstrual irregularity: a   possible clinical marker of metabolic dysfunction in women with </w:t>
      </w:r>
      <w:r>
        <w:t>class III obesity. Gynecol Endocrinol</w:t>
      </w:r>
      <w:r w:rsidR="00B97870">
        <w:t xml:space="preserve"> </w:t>
      </w:r>
      <w:r w:rsidR="00E672B8" w:rsidRPr="00E672B8">
        <w:t>2010; 26: 76</w:t>
      </w:r>
      <w:r>
        <w:t>8-</w:t>
      </w:r>
      <w:r w:rsidR="00E672B8" w:rsidRPr="00E672B8">
        <w:t>72.</w:t>
      </w:r>
    </w:p>
    <w:p w:rsidR="00731038" w:rsidRDefault="00E672B8" w:rsidP="00731038">
      <w:pPr>
        <w:numPr>
          <w:ilvl w:val="0"/>
          <w:numId w:val="13"/>
        </w:numPr>
        <w:spacing w:line="480" w:lineRule="auto"/>
        <w:jc w:val="both"/>
      </w:pPr>
      <w:r w:rsidRPr="00E672B8">
        <w:t>Ghandehari H, Le V, Kamal-Bahl S, Bassin SL, Wong ND. Abdominal obesity and the spectrum of global cardiometabolic risks in US ad</w:t>
      </w:r>
      <w:r w:rsidR="00546EA1">
        <w:t>ults. Int J Obes 2009; 33: 239-</w:t>
      </w:r>
      <w:r w:rsidRPr="00E672B8">
        <w:t>48.</w:t>
      </w:r>
    </w:p>
    <w:p w:rsidR="00E672B8" w:rsidRDefault="00E672B8" w:rsidP="00731038">
      <w:pPr>
        <w:numPr>
          <w:ilvl w:val="0"/>
          <w:numId w:val="13"/>
        </w:numPr>
        <w:spacing w:line="480" w:lineRule="auto"/>
        <w:jc w:val="both"/>
      </w:pPr>
      <w:r w:rsidRPr="00E672B8">
        <w:t xml:space="preserve">Carey DG, Jenkins AB, Campbell LV, Freund J, Chisholm DJ. Abdominal fat and insulin resistance in normal and overweight women: Direct measurements reveal a strong relationship in subjects at both low and high risk of </w:t>
      </w:r>
      <w:r w:rsidR="00546EA1">
        <w:t>NIDDM. Diabetes 1996; 45: 633-</w:t>
      </w:r>
      <w:r w:rsidRPr="00E672B8">
        <w:t>8.</w:t>
      </w:r>
    </w:p>
    <w:p w:rsidR="00BA65DF" w:rsidRDefault="00BA65DF" w:rsidP="00BA65DF">
      <w:pPr>
        <w:spacing w:line="480" w:lineRule="auto"/>
        <w:jc w:val="both"/>
      </w:pPr>
    </w:p>
    <w:p w:rsidR="00BA65DF" w:rsidRDefault="00BA65DF" w:rsidP="00BA65DF">
      <w:pPr>
        <w:spacing w:line="480" w:lineRule="auto"/>
        <w:jc w:val="both"/>
      </w:pPr>
    </w:p>
    <w:p w:rsidR="00BA65DF" w:rsidRDefault="00BA65DF" w:rsidP="00BA65DF">
      <w:pPr>
        <w:spacing w:line="480" w:lineRule="auto"/>
        <w:jc w:val="both"/>
      </w:pPr>
    </w:p>
    <w:p w:rsidR="00BA65DF" w:rsidRDefault="00BA65DF" w:rsidP="00BA65DF">
      <w:pPr>
        <w:spacing w:line="480" w:lineRule="auto"/>
        <w:jc w:val="both"/>
      </w:pPr>
    </w:p>
    <w:p w:rsidR="00BA65DF" w:rsidRDefault="00BA65DF" w:rsidP="00BA65DF">
      <w:pPr>
        <w:spacing w:line="480" w:lineRule="auto"/>
        <w:jc w:val="both"/>
      </w:pPr>
    </w:p>
    <w:p w:rsidR="00BA65DF" w:rsidRDefault="00BA65DF" w:rsidP="00BA65DF">
      <w:pPr>
        <w:spacing w:line="480" w:lineRule="auto"/>
        <w:jc w:val="both"/>
      </w:pPr>
    </w:p>
    <w:p w:rsidR="00BA65DF" w:rsidRPr="00E672B8" w:rsidRDefault="00BA65DF" w:rsidP="00BA65DF">
      <w:pPr>
        <w:spacing w:line="480" w:lineRule="auto"/>
        <w:jc w:val="both"/>
      </w:pPr>
    </w:p>
    <w:p w:rsidR="00722162" w:rsidRPr="00722162" w:rsidRDefault="00722162" w:rsidP="00722162">
      <w:pPr>
        <w:pStyle w:val="ListeParagraf"/>
        <w:spacing w:line="480" w:lineRule="auto"/>
        <w:ind w:left="784" w:firstLine="0"/>
        <w:rPr>
          <w:rFonts w:ascii="Times New Roman" w:hAnsi="Times New Roman" w:cs="Times New Roman"/>
          <w:bCs/>
          <w:sz w:val="24"/>
          <w:szCs w:val="24"/>
        </w:rPr>
      </w:pPr>
      <w:r w:rsidRPr="00722162">
        <w:rPr>
          <w:rFonts w:ascii="Times New Roman" w:hAnsi="Times New Roman" w:cs="Times New Roman"/>
          <w:bCs/>
          <w:sz w:val="24"/>
          <w:szCs w:val="24"/>
        </w:rPr>
        <w:t>Table I. Results of the nonparametric tests of the study groups presented as median and standard error.</w:t>
      </w:r>
    </w:p>
    <w:tbl>
      <w:tblPr>
        <w:tblStyle w:val="ListeTablo6Renkli"/>
        <w:tblW w:w="7368" w:type="dxa"/>
        <w:tblLook w:val="04A0" w:firstRow="1" w:lastRow="0" w:firstColumn="1" w:lastColumn="0" w:noHBand="0" w:noVBand="1"/>
      </w:tblPr>
      <w:tblGrid>
        <w:gridCol w:w="1643"/>
        <w:gridCol w:w="1137"/>
        <w:gridCol w:w="1160"/>
        <w:gridCol w:w="1160"/>
        <w:gridCol w:w="756"/>
        <w:gridCol w:w="756"/>
        <w:gridCol w:w="756"/>
      </w:tblGrid>
      <w:tr w:rsidR="00722162" w:rsidRPr="0003077D" w:rsidTr="00772798">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spacing w:line="480" w:lineRule="auto"/>
              <w:jc w:val="both"/>
              <w:rPr>
                <w:b w:val="0"/>
              </w:rPr>
            </w:pP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GROUP 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n=30</w:t>
            </w: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GROUP 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n=30</w:t>
            </w: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GROUP 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n=30</w:t>
            </w: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P</w:t>
            </w: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I-III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p</w:t>
            </w:r>
          </w:p>
        </w:tc>
        <w:tc>
          <w:tcPr>
            <w:tcW w:w="0" w:type="auto"/>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II-III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03077D">
              <w:rPr>
                <w:rFonts w:ascii="Times New Roman" w:hAnsi="Times New Roman"/>
                <w:b w:val="0"/>
                <w:bCs w:val="0"/>
                <w:sz w:val="24"/>
                <w:szCs w:val="24"/>
              </w:rPr>
              <w:t>P</w:t>
            </w:r>
          </w:p>
        </w:tc>
      </w:tr>
      <w:tr w:rsidR="0003077D" w:rsidRPr="0003077D" w:rsidTr="0077279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BMI (kg/m</w:t>
            </w:r>
            <w:r w:rsidRPr="0003077D">
              <w:rPr>
                <w:b w:val="0"/>
                <w:color w:val="000000"/>
                <w:vertAlign w:val="superscript"/>
              </w:rPr>
              <w:t>2</w:t>
            </w:r>
            <w:r w:rsidRPr="0003077D">
              <w:rPr>
                <w:b w:val="0"/>
                <w:color w:val="000000"/>
              </w:rPr>
              <w:t>)</w:t>
            </w:r>
          </w:p>
          <w:p w:rsidR="00722162" w:rsidRPr="0003077D" w:rsidRDefault="00722162" w:rsidP="00150004">
            <w:pPr>
              <w:autoSpaceDE w:val="0"/>
              <w:autoSpaceDN w:val="0"/>
              <w:adjustRightInd w:val="0"/>
              <w:spacing w:line="480" w:lineRule="auto"/>
              <w:jc w:val="both"/>
              <w:rPr>
                <w:b w:val="0"/>
                <w:color w:val="000000"/>
              </w:rPr>
            </w:pP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21.0 ± 0.42</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33.5 ± 0.63</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32.0 ± 0.87</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0.534</w:t>
            </w:r>
          </w:p>
        </w:tc>
      </w:tr>
      <w:tr w:rsidR="00722162" w:rsidRPr="0003077D" w:rsidTr="00772798">
        <w:trPr>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lastRenderedPageBreak/>
              <w:t>SBP(mm/Hg)</w:t>
            </w:r>
          </w:p>
          <w:p w:rsidR="00722162" w:rsidRPr="0003077D" w:rsidRDefault="00722162" w:rsidP="00150004">
            <w:pPr>
              <w:autoSpaceDE w:val="0"/>
              <w:autoSpaceDN w:val="0"/>
              <w:adjustRightInd w:val="0"/>
              <w:spacing w:line="480" w:lineRule="auto"/>
              <w:jc w:val="both"/>
              <w:rPr>
                <w:b w:val="0"/>
                <w:color w:val="000000"/>
              </w:rPr>
            </w:pP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100 ± 1.71</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120 ± 2.57</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120 ± 1.83</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0.671</w:t>
            </w:r>
          </w:p>
        </w:tc>
      </w:tr>
      <w:tr w:rsidR="00772798" w:rsidRPr="0003077D" w:rsidTr="00772798">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72798" w:rsidRPr="0003077D" w:rsidRDefault="00772798" w:rsidP="00150004">
            <w:pPr>
              <w:autoSpaceDE w:val="0"/>
              <w:autoSpaceDN w:val="0"/>
              <w:adjustRightInd w:val="0"/>
              <w:spacing w:line="480" w:lineRule="auto"/>
              <w:jc w:val="both"/>
              <w:rPr>
                <w:b w:val="0"/>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c>
          <w:tcPr>
            <w:tcW w:w="0" w:type="auto"/>
            <w:shd w:val="clear" w:color="auto" w:fill="auto"/>
          </w:tcPr>
          <w:p w:rsidR="00772798" w:rsidRPr="0003077D" w:rsidRDefault="00772798"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p>
        </w:tc>
      </w:tr>
      <w:tr w:rsidR="0003077D" w:rsidRPr="0003077D" w:rsidTr="00772798">
        <w:trPr>
          <w:trHeight w:val="63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DBP (mm/Hg)</w:t>
            </w:r>
          </w:p>
          <w:p w:rsidR="00722162" w:rsidRPr="0003077D" w:rsidRDefault="00722162" w:rsidP="00150004">
            <w:pPr>
              <w:autoSpaceDE w:val="0"/>
              <w:autoSpaceDN w:val="0"/>
              <w:adjustRightInd w:val="0"/>
              <w:spacing w:line="480" w:lineRule="auto"/>
              <w:jc w:val="both"/>
              <w:rPr>
                <w:b w:val="0"/>
                <w:color w:val="000000"/>
              </w:rPr>
            </w:pP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65 ± 1.41</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80 ± 1.30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80 ± 1.67</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0.185</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Insulin (</w:t>
            </w:r>
            <w:r w:rsidRPr="0003077D">
              <w:rPr>
                <w:b w:val="0"/>
              </w:rPr>
              <w:t>µU/mL</w:t>
            </w:r>
            <w:r w:rsidRPr="0003077D">
              <w:rPr>
                <w:b w:val="0"/>
                <w:color w:val="000000"/>
              </w:rPr>
              <w:t>)</w:t>
            </w:r>
          </w:p>
          <w:p w:rsidR="00722162" w:rsidRPr="0003077D" w:rsidRDefault="00722162" w:rsidP="00150004">
            <w:pPr>
              <w:autoSpaceDE w:val="0"/>
              <w:autoSpaceDN w:val="0"/>
              <w:adjustRightInd w:val="0"/>
              <w:spacing w:line="480" w:lineRule="auto"/>
              <w:jc w:val="both"/>
              <w:rPr>
                <w:b w:val="0"/>
                <w:color w:val="000000"/>
              </w:rPr>
            </w:pP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8.6 ± 0.60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11.3 ± 1.23</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vertAlign w:val="superscript"/>
              </w:rPr>
            </w:pPr>
            <w:r w:rsidRPr="0003077D">
              <w:rPr>
                <w:color w:val="000000"/>
              </w:rPr>
              <w:t>10.4 ± 1.50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0.003</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0.336</w:t>
            </w:r>
          </w:p>
        </w:tc>
      </w:tr>
      <w:tr w:rsidR="00772798" w:rsidRPr="0003077D" w:rsidTr="00772798">
        <w:trPr>
          <w:trHeight w:val="5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HOMA-IR</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vertAlign w:val="superscript"/>
              </w:rPr>
            </w:pPr>
            <w:r w:rsidRPr="0003077D">
              <w:rPr>
                <w:color w:val="000000"/>
              </w:rPr>
              <w:t>1.90 ± 1.87</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vertAlign w:val="superscript"/>
              </w:rPr>
            </w:pPr>
            <w:r w:rsidRPr="0003077D">
              <w:rPr>
                <w:color w:val="000000"/>
              </w:rPr>
              <w:t>2.75 ± 0.35</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vertAlign w:val="superscript"/>
              </w:rPr>
            </w:pPr>
            <w:r w:rsidRPr="0003077D">
              <w:rPr>
                <w:color w:val="000000"/>
              </w:rPr>
              <w:t>2.53 ± 0.35</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0.000</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0.001</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0.496</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ARE (</w:t>
            </w:r>
            <w:r w:rsidRPr="0003077D">
              <w:rPr>
                <w:b w:val="0"/>
              </w:rPr>
              <w:t>U/L</w:t>
            </w:r>
            <w:r w:rsidRPr="0003077D">
              <w:rPr>
                <w:b w:val="0"/>
                <w:color w:val="000000"/>
              </w:rPr>
              <w: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953 ± 89.7</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1110 ± 79.6</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1042 ± 85.8</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rPr>
            </w:pPr>
            <w:r w:rsidRPr="0003077D">
              <w:rPr>
                <w:color w:val="000000"/>
              </w:rPr>
              <w:t>*</w:t>
            </w:r>
          </w:p>
        </w:tc>
      </w:tr>
      <w:tr w:rsidR="00772798" w:rsidRPr="0003077D" w:rsidTr="00772798">
        <w:trPr>
          <w:trHeight w:val="454"/>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autoSpaceDE w:val="0"/>
              <w:autoSpaceDN w:val="0"/>
              <w:adjustRightInd w:val="0"/>
              <w:spacing w:line="480" w:lineRule="auto"/>
              <w:jc w:val="both"/>
              <w:rPr>
                <w:b w:val="0"/>
                <w:color w:val="000000"/>
              </w:rPr>
            </w:pPr>
            <w:r w:rsidRPr="0003077D">
              <w:rPr>
                <w:b w:val="0"/>
                <w:color w:val="000000"/>
              </w:rPr>
              <w:t>ALT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12.0 ± 0.81</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16.0 ± 1.06</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12.5 ± 0.75</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w:t>
            </w:r>
          </w:p>
        </w:tc>
        <w:tc>
          <w:tcPr>
            <w:tcW w:w="0" w:type="auto"/>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rPr>
            </w:pPr>
            <w:r w:rsidRPr="0003077D">
              <w:rPr>
                <w:color w:val="000000"/>
              </w:rPr>
              <w:t>*</w:t>
            </w:r>
          </w:p>
        </w:tc>
      </w:tr>
    </w:tbl>
    <w:p w:rsidR="00722162" w:rsidRDefault="00722162" w:rsidP="00722162">
      <w:pPr>
        <w:pStyle w:val="ListeParagraf2"/>
        <w:spacing w:line="480" w:lineRule="auto"/>
        <w:ind w:left="784"/>
        <w:jc w:val="both"/>
        <w:rPr>
          <w:rFonts w:ascii="Times New Roman" w:hAnsi="Times New Roman"/>
          <w:bCs/>
          <w:sz w:val="24"/>
          <w:szCs w:val="24"/>
        </w:rPr>
      </w:pPr>
      <w:r w:rsidRPr="00E672B8">
        <w:rPr>
          <w:rFonts w:ascii="Times New Roman" w:hAnsi="Times New Roman"/>
          <w:bCs/>
          <w:sz w:val="24"/>
          <w:szCs w:val="24"/>
        </w:rPr>
        <w:t>*Kruskal Wallis did not identify any statistical significance.</w:t>
      </w:r>
    </w:p>
    <w:p w:rsidR="00722162" w:rsidRPr="00E672B8" w:rsidRDefault="00722162" w:rsidP="00722162">
      <w:pPr>
        <w:pStyle w:val="ListeParagraf2"/>
        <w:spacing w:line="480" w:lineRule="auto"/>
        <w:ind w:left="784"/>
        <w:jc w:val="both"/>
        <w:rPr>
          <w:rFonts w:ascii="Times New Roman" w:hAnsi="Times New Roman"/>
          <w:bCs/>
          <w:sz w:val="24"/>
          <w:szCs w:val="24"/>
        </w:rPr>
      </w:pPr>
      <w:r>
        <w:rPr>
          <w:rFonts w:ascii="Times New Roman" w:hAnsi="Times New Roman"/>
          <w:bCs/>
          <w:sz w:val="24"/>
          <w:szCs w:val="24"/>
        </w:rPr>
        <w:t xml:space="preserve">SBP: sistolic blood pressure; DBP : diastolic blood pressure; </w:t>
      </w:r>
      <w:r>
        <w:rPr>
          <w:rFonts w:ascii="Times New Roman" w:hAnsi="Times New Roman"/>
          <w:color w:val="000000"/>
          <w:sz w:val="24"/>
          <w:szCs w:val="24"/>
          <w:lang w:val="en-GB"/>
        </w:rPr>
        <w:t xml:space="preserve">HOMA-IR: </w:t>
      </w:r>
      <w:r w:rsidRPr="00546EA1">
        <w:rPr>
          <w:rFonts w:ascii="Times New Roman" w:hAnsi="Times New Roman"/>
          <w:color w:val="000000"/>
          <w:sz w:val="24"/>
          <w:szCs w:val="24"/>
          <w:lang w:val="en-GB"/>
        </w:rPr>
        <w:t>Homeostasis Model of Assessment - Insulin Resistance</w:t>
      </w:r>
      <w:r>
        <w:rPr>
          <w:rFonts w:ascii="Times New Roman" w:hAnsi="Times New Roman"/>
          <w:bCs/>
          <w:sz w:val="24"/>
          <w:szCs w:val="24"/>
        </w:rPr>
        <w:t>; ARE: arylesterase.</w:t>
      </w:r>
    </w:p>
    <w:p w:rsidR="00722162" w:rsidRDefault="00722162" w:rsidP="00722162">
      <w:pPr>
        <w:pStyle w:val="ListeParagraf"/>
        <w:spacing w:line="480" w:lineRule="auto"/>
        <w:ind w:left="784" w:firstLine="0"/>
        <w:rPr>
          <w:bCs/>
        </w:rPr>
      </w:pPr>
    </w:p>
    <w:p w:rsidR="00722162" w:rsidRPr="00722162" w:rsidRDefault="00722162" w:rsidP="00722162">
      <w:pPr>
        <w:pStyle w:val="ListeParagraf"/>
        <w:spacing w:line="480" w:lineRule="auto"/>
        <w:ind w:left="784" w:firstLine="0"/>
        <w:rPr>
          <w:rFonts w:ascii="Times New Roman" w:hAnsi="Times New Roman" w:cs="Times New Roman"/>
          <w:bCs/>
          <w:sz w:val="24"/>
          <w:szCs w:val="24"/>
        </w:rPr>
      </w:pPr>
      <w:r w:rsidRPr="00722162">
        <w:rPr>
          <w:rFonts w:ascii="Times New Roman" w:hAnsi="Times New Roman" w:cs="Times New Roman"/>
          <w:bCs/>
          <w:sz w:val="24"/>
          <w:szCs w:val="24"/>
        </w:rPr>
        <w:t>Table II. The results of the parametric tests of the study groups presented as mean and SD.</w:t>
      </w:r>
    </w:p>
    <w:tbl>
      <w:tblPr>
        <w:tblStyle w:val="ListeTablo6Renkli"/>
        <w:tblW w:w="5000" w:type="pct"/>
        <w:tblLook w:val="04A0" w:firstRow="1" w:lastRow="0" w:firstColumn="1" w:lastColumn="0" w:noHBand="0" w:noVBand="1"/>
      </w:tblPr>
      <w:tblGrid>
        <w:gridCol w:w="2440"/>
        <w:gridCol w:w="1417"/>
        <w:gridCol w:w="1491"/>
        <w:gridCol w:w="1413"/>
        <w:gridCol w:w="767"/>
        <w:gridCol w:w="767"/>
        <w:gridCol w:w="775"/>
      </w:tblGrid>
      <w:tr w:rsidR="00722162" w:rsidRPr="0003077D" w:rsidTr="00772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pStyle w:val="ListeParagraf2"/>
              <w:spacing w:line="480" w:lineRule="auto"/>
              <w:ind w:left="0"/>
              <w:jc w:val="both"/>
              <w:rPr>
                <w:rFonts w:ascii="Times New Roman" w:hAnsi="Times New Roman"/>
                <w:b w:val="0"/>
                <w:bCs w:val="0"/>
              </w:rPr>
            </w:pPr>
            <w:r w:rsidRPr="0003077D">
              <w:rPr>
                <w:rFonts w:ascii="Times New Roman" w:hAnsi="Times New Roman"/>
                <w:b w:val="0"/>
                <w:bCs w:val="0"/>
              </w:rPr>
              <w:t xml:space="preserve"> </w:t>
            </w:r>
          </w:p>
        </w:tc>
        <w:tc>
          <w:tcPr>
            <w:tcW w:w="781"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GROUP 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n=30</w:t>
            </w:r>
          </w:p>
        </w:tc>
        <w:tc>
          <w:tcPr>
            <w:tcW w:w="822"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GROUP 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n=30</w:t>
            </w:r>
          </w:p>
        </w:tc>
        <w:tc>
          <w:tcPr>
            <w:tcW w:w="779"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GROUP 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n=30</w:t>
            </w:r>
          </w:p>
        </w:tc>
        <w:tc>
          <w:tcPr>
            <w:tcW w:w="423"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P</w:t>
            </w:r>
          </w:p>
        </w:tc>
        <w:tc>
          <w:tcPr>
            <w:tcW w:w="423"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I-III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P</w:t>
            </w:r>
          </w:p>
        </w:tc>
        <w:tc>
          <w:tcPr>
            <w:tcW w:w="427" w:type="pct"/>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II-III</w:t>
            </w:r>
          </w:p>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03077D">
              <w:rPr>
                <w:rFonts w:ascii="Times New Roman" w:hAnsi="Times New Roman"/>
                <w:b w:val="0"/>
                <w:bCs w:val="0"/>
              </w:rPr>
              <w:t>p</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Glucose (mg/dL)</w:t>
            </w: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92.0 ± 12.2</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96.3 ± 9.7</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98.7 ± 16.8</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trHeight w:val="538"/>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lastRenderedPageBreak/>
              <w:t>Creatinine (mg/dL)</w:t>
            </w: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0.72 ± 0.07</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0.71 ± 0.07</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0.71 ± 0.08</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MDRD</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104.3 ± 11.4</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101.5 ± 12.8</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101.7 ± 13.7</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trHeight w:val="283"/>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T.Chol. (mg/dL)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162.7 ± 29.3</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174.4 ± 35.5</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175.2 ± 29.0</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TG (mg/dL)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94.2 ± 42.2</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151.1 ± 70.1</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vertAlign w:val="superscript"/>
              </w:rPr>
            </w:pPr>
            <w:r w:rsidRPr="0003077D">
              <w:rPr>
                <w:color w:val="000000"/>
                <w:sz w:val="22"/>
                <w:szCs w:val="22"/>
              </w:rPr>
              <w:t>128.9 ± 55.1</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0.001</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0.055</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0.294</w:t>
            </w:r>
          </w:p>
        </w:tc>
      </w:tr>
      <w:tr w:rsidR="00722162" w:rsidRPr="0003077D" w:rsidTr="00772798">
        <w:trPr>
          <w:trHeight w:val="283"/>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 xml:space="preserve">HDL-C (mg/dL) </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52.9 ± 9.6</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43.9 ± 6.8</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47.2 ± 7.8</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0.000</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0.023</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0.250</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APO A-I (mg/dL)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133.7 ± 20.1</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126.5 ± 14.9</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125.5 ± 16.8</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trHeight w:val="283"/>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APO B (mg/dL)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68.7 ± 21.4</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83.3 ± 21.6</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75.9 ± 16.6</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0.016</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0.355</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0.322</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PON (U/L)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31.5 ± 19.3</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29.2 ± 16.4</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30.6 ± 18.7</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w:t>
            </w:r>
          </w:p>
        </w:tc>
      </w:tr>
      <w:tr w:rsidR="00722162" w:rsidRPr="0003077D" w:rsidTr="00772798">
        <w:trPr>
          <w:trHeight w:val="283"/>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D-LDL-C (mg/dL)</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97.9 ± 23.9</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122.6 ± 30.1</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vertAlign w:val="superscript"/>
              </w:rPr>
            </w:pPr>
            <w:r w:rsidRPr="0003077D">
              <w:rPr>
                <w:color w:val="000000"/>
                <w:sz w:val="22"/>
                <w:szCs w:val="22"/>
              </w:rPr>
              <w:t>116.2 ± 28.1</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0.001</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0.023</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color w:val="000000"/>
                <w:sz w:val="22"/>
                <w:szCs w:val="22"/>
              </w:rPr>
            </w:pPr>
            <w:r w:rsidRPr="0003077D">
              <w:rPr>
                <w:color w:val="000000"/>
                <w:sz w:val="22"/>
                <w:szCs w:val="22"/>
              </w:rPr>
              <w:t>0.627</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1345" w:type="pct"/>
            <w:shd w:val="clear" w:color="auto" w:fill="auto"/>
          </w:tcPr>
          <w:p w:rsidR="00722162" w:rsidRPr="0003077D" w:rsidRDefault="00722162" w:rsidP="00150004">
            <w:pPr>
              <w:autoSpaceDE w:val="0"/>
              <w:autoSpaceDN w:val="0"/>
              <w:adjustRightInd w:val="0"/>
              <w:spacing w:line="480" w:lineRule="auto"/>
              <w:jc w:val="both"/>
              <w:rPr>
                <w:b w:val="0"/>
                <w:color w:val="000000"/>
                <w:sz w:val="22"/>
                <w:szCs w:val="22"/>
              </w:rPr>
            </w:pPr>
            <w:r w:rsidRPr="0003077D">
              <w:rPr>
                <w:b w:val="0"/>
                <w:color w:val="000000"/>
                <w:sz w:val="22"/>
                <w:szCs w:val="22"/>
              </w:rPr>
              <w:t xml:space="preserve">hsCRP </w:t>
            </w:r>
          </w:p>
          <w:p w:rsidR="00722162" w:rsidRPr="0003077D" w:rsidRDefault="00722162" w:rsidP="00150004">
            <w:pPr>
              <w:autoSpaceDE w:val="0"/>
              <w:autoSpaceDN w:val="0"/>
              <w:adjustRightInd w:val="0"/>
              <w:spacing w:line="480" w:lineRule="auto"/>
              <w:jc w:val="both"/>
              <w:rPr>
                <w:b w:val="0"/>
                <w:color w:val="000000"/>
                <w:sz w:val="22"/>
                <w:szCs w:val="22"/>
              </w:rPr>
            </w:pPr>
          </w:p>
        </w:tc>
        <w:tc>
          <w:tcPr>
            <w:tcW w:w="781"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0.77 ± 0.70</w:t>
            </w:r>
          </w:p>
        </w:tc>
        <w:tc>
          <w:tcPr>
            <w:tcW w:w="822"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5.05 ± 3.35</w:t>
            </w:r>
          </w:p>
        </w:tc>
        <w:tc>
          <w:tcPr>
            <w:tcW w:w="779"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3.76 ± 2.06</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0.000</w:t>
            </w:r>
          </w:p>
        </w:tc>
        <w:tc>
          <w:tcPr>
            <w:tcW w:w="423"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0.000</w:t>
            </w:r>
          </w:p>
        </w:tc>
        <w:tc>
          <w:tcPr>
            <w:tcW w:w="427" w:type="pct"/>
            <w:shd w:val="clear" w:color="auto" w:fill="auto"/>
          </w:tcPr>
          <w:p w:rsidR="00722162" w:rsidRPr="0003077D" w:rsidRDefault="00722162" w:rsidP="00150004">
            <w:pPr>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03077D">
              <w:rPr>
                <w:color w:val="000000"/>
                <w:sz w:val="22"/>
                <w:szCs w:val="22"/>
              </w:rPr>
              <w:t>0.080</w:t>
            </w:r>
          </w:p>
        </w:tc>
      </w:tr>
    </w:tbl>
    <w:p w:rsidR="00722162" w:rsidRPr="0090360E" w:rsidRDefault="00722162" w:rsidP="00722162">
      <w:pPr>
        <w:pStyle w:val="ListeParagraf2"/>
        <w:spacing w:line="480" w:lineRule="auto"/>
        <w:ind w:left="784"/>
        <w:jc w:val="both"/>
        <w:rPr>
          <w:rFonts w:ascii="Times New Roman" w:hAnsi="Times New Roman"/>
          <w:bCs/>
        </w:rPr>
      </w:pPr>
      <w:r w:rsidRPr="0090360E">
        <w:rPr>
          <w:rFonts w:ascii="Times New Roman" w:hAnsi="Times New Roman"/>
          <w:bCs/>
        </w:rPr>
        <w:t>*ANOVA did not identify any statistical difference.</w:t>
      </w:r>
    </w:p>
    <w:p w:rsidR="00722162" w:rsidRPr="0090360E" w:rsidRDefault="00722162" w:rsidP="00722162">
      <w:pPr>
        <w:pStyle w:val="ListeParagraf2"/>
        <w:spacing w:line="480" w:lineRule="auto"/>
        <w:ind w:left="784"/>
        <w:jc w:val="both"/>
        <w:rPr>
          <w:rFonts w:ascii="Times New Roman" w:hAnsi="Times New Roman"/>
          <w:bCs/>
        </w:rPr>
      </w:pPr>
      <w:r w:rsidRPr="0090360E">
        <w:rPr>
          <w:rFonts w:ascii="Times New Roman" w:hAnsi="Times New Roman"/>
          <w:spacing w:val="-2"/>
        </w:rPr>
        <w:t>MDRD: Modification of Diet in Renal Disease; PON: Paraoxonase; hsCRP: high sensitive C-Reactive Protein.</w:t>
      </w:r>
    </w:p>
    <w:p w:rsidR="00722162" w:rsidRPr="00722162" w:rsidRDefault="00722162" w:rsidP="00722162">
      <w:pPr>
        <w:pStyle w:val="ListeParagraf"/>
        <w:spacing w:line="360" w:lineRule="auto"/>
        <w:ind w:left="784" w:firstLine="0"/>
        <w:contextualSpacing/>
        <w:rPr>
          <w:rFonts w:ascii="Times New Roman" w:eastAsia="Calibri" w:hAnsi="Times New Roman" w:cs="Times New Roman"/>
          <w:sz w:val="24"/>
          <w:szCs w:val="24"/>
        </w:rPr>
      </w:pPr>
      <w:r w:rsidRPr="00722162">
        <w:rPr>
          <w:rFonts w:ascii="Times New Roman" w:eastAsia="Calibri" w:hAnsi="Times New Roman" w:cs="Times New Roman"/>
          <w:sz w:val="24"/>
          <w:szCs w:val="24"/>
        </w:rPr>
        <w:t>Table 3. Pearson correlation results of Total cholesterol, TG, HDL-C, Apo A-I, Apo B, hsCRP, PON, ARE, D-LDL-C and BMI in all groups.</w:t>
      </w:r>
    </w:p>
    <w:tbl>
      <w:tblPr>
        <w:tblStyle w:val="ListeTablo6Renkli"/>
        <w:tblW w:w="0" w:type="auto"/>
        <w:tblLayout w:type="fixed"/>
        <w:tblLook w:val="01E0" w:firstRow="1" w:lastRow="1" w:firstColumn="1" w:lastColumn="1" w:noHBand="0" w:noVBand="0"/>
      </w:tblPr>
      <w:tblGrid>
        <w:gridCol w:w="1017"/>
        <w:gridCol w:w="631"/>
        <w:gridCol w:w="865"/>
        <w:gridCol w:w="752"/>
        <w:gridCol w:w="840"/>
        <w:gridCol w:w="681"/>
        <w:gridCol w:w="696"/>
        <w:gridCol w:w="726"/>
        <w:gridCol w:w="846"/>
        <w:gridCol w:w="851"/>
        <w:gridCol w:w="664"/>
        <w:gridCol w:w="717"/>
      </w:tblGrid>
      <w:tr w:rsidR="00722162" w:rsidRPr="0003077D" w:rsidTr="007727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tcW w:w="865" w:type="dxa"/>
            <w:shd w:val="clear" w:color="auto" w:fill="auto"/>
          </w:tcPr>
          <w:p w:rsidR="00722162" w:rsidRPr="0003077D" w:rsidRDefault="00722162" w:rsidP="00150004">
            <w:pPr>
              <w:spacing w:after="200"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Calibri"/>
                <w:b w:val="0"/>
                <w:sz w:val="16"/>
                <w:szCs w:val="16"/>
                <w:lang w:eastAsia="en-US"/>
              </w:rPr>
            </w:pPr>
            <w:r w:rsidRPr="0003077D">
              <w:rPr>
                <w:rFonts w:eastAsia="Calibri"/>
                <w:b w:val="0"/>
                <w:sz w:val="16"/>
                <w:szCs w:val="16"/>
                <w:lang w:eastAsia="en-US"/>
              </w:rPr>
              <w:t>TG</w:t>
            </w: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HDL-C</w:t>
            </w:r>
          </w:p>
        </w:tc>
        <w:tc>
          <w:tcPr>
            <w:tcW w:w="840" w:type="dxa"/>
            <w:shd w:val="clear" w:color="auto" w:fill="auto"/>
          </w:tcPr>
          <w:p w:rsidR="00722162" w:rsidRPr="0003077D" w:rsidRDefault="00722162" w:rsidP="00150004">
            <w:pPr>
              <w:spacing w:after="200"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Calibri"/>
                <w:b w:val="0"/>
                <w:sz w:val="16"/>
                <w:szCs w:val="16"/>
                <w:lang w:eastAsia="en-US"/>
              </w:rPr>
            </w:pPr>
            <w:r w:rsidRPr="0003077D">
              <w:rPr>
                <w:rFonts w:eastAsia="Calibri"/>
                <w:b w:val="0"/>
                <w:sz w:val="16"/>
                <w:szCs w:val="16"/>
                <w:lang w:eastAsia="en-US"/>
              </w:rPr>
              <w:t>Apo A-I</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Apo B</w:t>
            </w:r>
          </w:p>
        </w:tc>
        <w:tc>
          <w:tcPr>
            <w:tcW w:w="696" w:type="dxa"/>
            <w:shd w:val="clear" w:color="auto" w:fill="auto"/>
          </w:tcPr>
          <w:p w:rsidR="00722162" w:rsidRPr="0003077D" w:rsidRDefault="00722162" w:rsidP="00150004">
            <w:pPr>
              <w:spacing w:after="200"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Calibri"/>
                <w:b w:val="0"/>
                <w:sz w:val="16"/>
                <w:szCs w:val="16"/>
                <w:lang w:eastAsia="en-US"/>
              </w:rPr>
            </w:pPr>
            <w:r w:rsidRPr="0003077D">
              <w:rPr>
                <w:rFonts w:eastAsia="Calibri"/>
                <w:b w:val="0"/>
                <w:sz w:val="16"/>
                <w:szCs w:val="16"/>
                <w:lang w:eastAsia="en-US"/>
              </w:rPr>
              <w:t>PON</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ARE</w:t>
            </w:r>
          </w:p>
        </w:tc>
        <w:tc>
          <w:tcPr>
            <w:tcW w:w="846" w:type="dxa"/>
            <w:shd w:val="clear" w:color="auto" w:fill="auto"/>
          </w:tcPr>
          <w:p w:rsidR="00722162" w:rsidRPr="0003077D" w:rsidRDefault="00722162" w:rsidP="00150004">
            <w:pPr>
              <w:spacing w:after="200"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Calibri"/>
                <w:b w:val="0"/>
                <w:sz w:val="16"/>
                <w:szCs w:val="16"/>
                <w:lang w:eastAsia="en-US"/>
              </w:rPr>
            </w:pPr>
            <w:r w:rsidRPr="0003077D">
              <w:rPr>
                <w:rFonts w:eastAsia="Calibri"/>
                <w:b w:val="0"/>
                <w:sz w:val="16"/>
                <w:szCs w:val="16"/>
                <w:lang w:eastAsia="en-US"/>
              </w:rPr>
              <w:t>HOMA-IR</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D-LDL.C</w:t>
            </w:r>
          </w:p>
        </w:tc>
        <w:tc>
          <w:tcPr>
            <w:tcW w:w="664" w:type="dxa"/>
            <w:shd w:val="clear" w:color="auto" w:fill="auto"/>
          </w:tcPr>
          <w:p w:rsidR="00722162" w:rsidRPr="0003077D" w:rsidRDefault="00722162" w:rsidP="00150004">
            <w:pPr>
              <w:spacing w:after="200" w:line="360" w:lineRule="auto"/>
              <w:contextualSpacing/>
              <w:jc w:val="both"/>
              <w:cnfStyle w:val="100000000000" w:firstRow="1" w:lastRow="0" w:firstColumn="0" w:lastColumn="0" w:oddVBand="0" w:evenVBand="0" w:oddHBand="0" w:evenHBand="0" w:firstRowFirstColumn="0" w:firstRowLastColumn="0" w:lastRowFirstColumn="0" w:lastRowLastColumn="0"/>
              <w:rPr>
                <w:rFonts w:eastAsia="Calibri"/>
                <w:b w:val="0"/>
                <w:sz w:val="16"/>
                <w:szCs w:val="16"/>
                <w:lang w:eastAsia="en-US"/>
              </w:rPr>
            </w:pPr>
            <w:r w:rsidRPr="0003077D">
              <w:rPr>
                <w:rFonts w:eastAsia="Calibri"/>
                <w:b w:val="0"/>
                <w:sz w:val="16"/>
                <w:szCs w:val="16"/>
                <w:lang w:eastAsia="en-US"/>
              </w:rPr>
              <w:t>BMI</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hsCRP</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T.Chol.</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0.614</w:t>
            </w: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0.358</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0.840</w:t>
            </w: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0.781</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0.000</w:t>
            </w: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0,001</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0,000</w:t>
            </w: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0,000</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TG</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-0.281</w:t>
            </w: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0.677</w:t>
            </w: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0.353</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0.512</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0.357</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0.007</w:t>
            </w: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0.000</w:t>
            </w: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0.001</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0.000</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0.001</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HDL.C</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0.817</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6"/>
                <w:szCs w:val="16"/>
                <w:lang w:eastAsia="en-US"/>
              </w:rPr>
            </w:pPr>
            <w:r w:rsidRPr="0003077D">
              <w:rPr>
                <w:rFonts w:eastAsia="Calibri"/>
                <w:sz w:val="16"/>
                <w:szCs w:val="16"/>
                <w:lang w:eastAsia="en-US"/>
              </w:rPr>
              <w:t>-0.384</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6"/>
                <w:szCs w:val="16"/>
                <w:lang w:eastAsia="en-US"/>
              </w:rPr>
            </w:pPr>
            <w:r w:rsidRPr="0003077D">
              <w:rPr>
                <w:rFonts w:eastAsia="Calibri"/>
                <w:b w:val="0"/>
                <w:sz w:val="16"/>
                <w:szCs w:val="16"/>
                <w:lang w:eastAsia="en-US"/>
              </w:rPr>
              <w:t>-0.237</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0.000</w:t>
            </w: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0.000</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0.025</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Apo A-I</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Apo B</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0.811</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0.234</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0.000</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0.007</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PON</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ARE</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HOMA-IR</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0.381</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w:t>
            </w: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0.000</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D-LDL.C</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0.399</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64" w:type="dxa"/>
            <w:shd w:val="clear" w:color="auto" w:fill="auto"/>
          </w:tcPr>
          <w:p w:rsidR="00722162" w:rsidRPr="0003077D" w:rsidRDefault="00722162" w:rsidP="00150004">
            <w:pPr>
              <w:spacing w:after="200" w:line="360"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sz w:val="18"/>
                <w:szCs w:val="18"/>
                <w:lang w:eastAsia="en-US"/>
              </w:rPr>
            </w:pPr>
            <w:r w:rsidRPr="0003077D">
              <w:rPr>
                <w:rFonts w:eastAsia="Calibri"/>
                <w:sz w:val="18"/>
                <w:szCs w:val="18"/>
                <w:lang w:eastAsia="en-US"/>
              </w:rPr>
              <w:t>0.000</w:t>
            </w: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w:t>
            </w:r>
          </w:p>
        </w:tc>
      </w:tr>
      <w:tr w:rsidR="00722162" w:rsidRPr="0003077D" w:rsidTr="007727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BMI</w:t>
            </w: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r w:rsidRPr="0003077D">
              <w:rPr>
                <w:rFonts w:eastAsia="Calibri"/>
                <w:sz w:val="18"/>
                <w:szCs w:val="18"/>
                <w:lang w:eastAsia="en-US"/>
              </w:rPr>
              <w:t>r</w:t>
            </w:r>
          </w:p>
        </w:tc>
        <w:tc>
          <w:tcPr>
            <w:tcW w:w="865"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sz w:val="18"/>
                <w:szCs w:val="18"/>
                <w:lang w:eastAsia="en-US"/>
              </w:rPr>
            </w:pPr>
          </w:p>
        </w:tc>
        <w:tc>
          <w:tcPr>
            <w:tcW w:w="664" w:type="dxa"/>
            <w:shd w:val="clear" w:color="auto" w:fill="auto"/>
          </w:tcPr>
          <w:p w:rsidR="00722162" w:rsidRPr="0003077D" w:rsidRDefault="00722162" w:rsidP="00150004">
            <w:pPr>
              <w:spacing w:after="200" w:line="360"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0.570</w:t>
            </w:r>
          </w:p>
        </w:tc>
      </w:tr>
      <w:tr w:rsidR="00722162" w:rsidRPr="0003077D" w:rsidTr="0077279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31"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p</w:t>
            </w:r>
          </w:p>
        </w:tc>
        <w:tc>
          <w:tcPr>
            <w:tcW w:w="865" w:type="dxa"/>
            <w:shd w:val="clear" w:color="auto" w:fill="auto"/>
          </w:tcPr>
          <w:p w:rsidR="00722162" w:rsidRPr="0003077D" w:rsidRDefault="00722162" w:rsidP="00150004">
            <w:pPr>
              <w:spacing w:after="200" w:line="360" w:lineRule="auto"/>
              <w:contextualSpacing/>
              <w:jc w:val="both"/>
              <w:cnfStyle w:val="010000000000" w:firstRow="0" w:lastRow="1" w:firstColumn="0" w:lastColumn="0" w:oddVBand="0" w:evenVBand="0" w:oddHBand="0" w:evenHBand="0" w:firstRowFirstColumn="0" w:firstRowLastColumn="0" w:lastRowFirstColumn="0" w:lastRowLastColumn="0"/>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52"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tcW w:w="840" w:type="dxa"/>
            <w:shd w:val="clear" w:color="auto" w:fill="auto"/>
          </w:tcPr>
          <w:p w:rsidR="00722162" w:rsidRPr="0003077D" w:rsidRDefault="00722162" w:rsidP="00150004">
            <w:pPr>
              <w:spacing w:after="200" w:line="360" w:lineRule="auto"/>
              <w:contextualSpacing/>
              <w:jc w:val="both"/>
              <w:cnfStyle w:val="010000000000" w:firstRow="0" w:lastRow="1" w:firstColumn="0" w:lastColumn="0" w:oddVBand="0" w:evenVBand="0" w:oddHBand="0" w:evenHBand="0" w:firstRowFirstColumn="0" w:firstRowLastColumn="0" w:lastRowFirstColumn="0" w:lastRowLastColumn="0"/>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681"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tcW w:w="696" w:type="dxa"/>
            <w:shd w:val="clear" w:color="auto" w:fill="auto"/>
          </w:tcPr>
          <w:p w:rsidR="00722162" w:rsidRPr="0003077D" w:rsidRDefault="00722162" w:rsidP="00150004">
            <w:pPr>
              <w:spacing w:after="200" w:line="360" w:lineRule="auto"/>
              <w:contextualSpacing/>
              <w:jc w:val="both"/>
              <w:cnfStyle w:val="010000000000" w:firstRow="0" w:lastRow="1" w:firstColumn="0" w:lastColumn="0" w:oddVBand="0" w:evenVBand="0" w:oddHBand="0" w:evenHBand="0" w:firstRowFirstColumn="0" w:firstRowLastColumn="0" w:lastRowFirstColumn="0" w:lastRowLastColumn="0"/>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726"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tcW w:w="846" w:type="dxa"/>
            <w:shd w:val="clear" w:color="auto" w:fill="auto"/>
          </w:tcPr>
          <w:p w:rsidR="00722162" w:rsidRPr="0003077D" w:rsidRDefault="00722162" w:rsidP="00150004">
            <w:pPr>
              <w:spacing w:after="200" w:line="360" w:lineRule="auto"/>
              <w:contextualSpacing/>
              <w:jc w:val="both"/>
              <w:cnfStyle w:val="010000000000" w:firstRow="0" w:lastRow="1" w:firstColumn="0" w:lastColumn="0" w:oddVBand="0" w:evenVBand="0" w:oddHBand="0" w:evenHBand="0" w:firstRowFirstColumn="0" w:firstRowLastColumn="0" w:lastRowFirstColumn="0" w:lastRowLastColumn="0"/>
              <w:rPr>
                <w:rFonts w:eastAsia="Calibri"/>
                <w:b w:val="0"/>
                <w:sz w:val="18"/>
                <w:szCs w:val="18"/>
                <w:lang w:eastAsia="en-US"/>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p>
        </w:tc>
        <w:tc>
          <w:tcPr>
            <w:tcW w:w="664" w:type="dxa"/>
            <w:shd w:val="clear" w:color="auto" w:fill="auto"/>
          </w:tcPr>
          <w:p w:rsidR="00722162" w:rsidRPr="0003077D" w:rsidRDefault="00722162" w:rsidP="00150004">
            <w:pPr>
              <w:spacing w:after="200" w:line="360" w:lineRule="auto"/>
              <w:contextualSpacing/>
              <w:jc w:val="both"/>
              <w:cnfStyle w:val="010000000000" w:firstRow="0" w:lastRow="1" w:firstColumn="0" w:lastColumn="0" w:oddVBand="0" w:evenVBand="0" w:oddHBand="0" w:evenHBand="0" w:firstRowFirstColumn="0" w:firstRowLastColumn="0" w:lastRowFirstColumn="0" w:lastRowLastColumn="0"/>
              <w:rPr>
                <w:rFonts w:eastAsia="Calibri"/>
                <w:b w:val="0"/>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717" w:type="dxa"/>
            <w:shd w:val="clear" w:color="auto" w:fill="auto"/>
          </w:tcPr>
          <w:p w:rsidR="00722162" w:rsidRPr="0003077D" w:rsidRDefault="00722162" w:rsidP="00150004">
            <w:pPr>
              <w:spacing w:after="200" w:line="360" w:lineRule="auto"/>
              <w:contextualSpacing/>
              <w:jc w:val="both"/>
              <w:rPr>
                <w:rFonts w:eastAsia="Calibri"/>
                <w:b w:val="0"/>
                <w:sz w:val="18"/>
                <w:szCs w:val="18"/>
                <w:lang w:eastAsia="en-US"/>
              </w:rPr>
            </w:pPr>
            <w:r w:rsidRPr="0003077D">
              <w:rPr>
                <w:rFonts w:eastAsia="Calibri"/>
                <w:b w:val="0"/>
                <w:sz w:val="18"/>
                <w:szCs w:val="18"/>
                <w:lang w:eastAsia="en-US"/>
              </w:rPr>
              <w:t>0.000</w:t>
            </w:r>
          </w:p>
        </w:tc>
      </w:tr>
    </w:tbl>
    <w:p w:rsidR="00722162" w:rsidRDefault="00722162" w:rsidP="00722162">
      <w:pPr>
        <w:pStyle w:val="ListeParagraf2"/>
        <w:spacing w:line="480" w:lineRule="auto"/>
        <w:ind w:left="424"/>
        <w:jc w:val="both"/>
        <w:rPr>
          <w:rFonts w:ascii="Times New Roman" w:hAnsi="Times New Roman"/>
          <w:bCs/>
          <w:sz w:val="24"/>
          <w:szCs w:val="24"/>
        </w:rPr>
      </w:pPr>
      <w:r w:rsidRPr="00E672B8">
        <w:rPr>
          <w:rFonts w:ascii="Times New Roman" w:hAnsi="Times New Roman"/>
          <w:bCs/>
          <w:sz w:val="24"/>
          <w:szCs w:val="24"/>
        </w:rPr>
        <w:t>*</w:t>
      </w:r>
      <w:r>
        <w:rPr>
          <w:rFonts w:ascii="Times New Roman" w:hAnsi="Times New Roman"/>
          <w:bCs/>
          <w:sz w:val="24"/>
          <w:szCs w:val="24"/>
        </w:rPr>
        <w:t xml:space="preserve"> Pearson correlation </w:t>
      </w:r>
      <w:r w:rsidRPr="00E672B8">
        <w:rPr>
          <w:rFonts w:ascii="Times New Roman" w:hAnsi="Times New Roman"/>
          <w:bCs/>
          <w:sz w:val="24"/>
          <w:szCs w:val="24"/>
        </w:rPr>
        <w:t>did not identify any statistical difference.</w:t>
      </w: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Default="00722162" w:rsidP="00722162">
      <w:pPr>
        <w:pStyle w:val="ListeParagraf"/>
        <w:spacing w:line="360" w:lineRule="auto"/>
        <w:ind w:left="784" w:firstLine="0"/>
        <w:contextualSpacing/>
        <w:rPr>
          <w:rFonts w:eastAsia="Calibri"/>
        </w:rPr>
      </w:pPr>
    </w:p>
    <w:p w:rsidR="00722162" w:rsidRPr="00722162" w:rsidRDefault="00722162" w:rsidP="00722162">
      <w:pPr>
        <w:pStyle w:val="ListeParagraf"/>
        <w:spacing w:line="360" w:lineRule="auto"/>
        <w:ind w:left="784" w:firstLine="0"/>
        <w:contextualSpacing/>
        <w:rPr>
          <w:rFonts w:eastAsia="Calibri"/>
        </w:rPr>
      </w:pPr>
    </w:p>
    <w:p w:rsidR="00722162" w:rsidRPr="00E672B8" w:rsidRDefault="00722162" w:rsidP="00722162">
      <w:pPr>
        <w:pStyle w:val="ListeParagraf2"/>
        <w:spacing w:line="480" w:lineRule="auto"/>
        <w:ind w:left="784"/>
        <w:jc w:val="both"/>
        <w:rPr>
          <w:rFonts w:ascii="Times New Roman" w:hAnsi="Times New Roman"/>
          <w:sz w:val="24"/>
          <w:szCs w:val="24"/>
        </w:rPr>
      </w:pPr>
      <w:r>
        <w:rPr>
          <w:rFonts w:ascii="Times New Roman" w:hAnsi="Times New Roman"/>
          <w:sz w:val="24"/>
          <w:szCs w:val="24"/>
        </w:rPr>
        <w:t>Table IV</w:t>
      </w:r>
      <w:r w:rsidRPr="00E672B8">
        <w:rPr>
          <w:rFonts w:ascii="Times New Roman" w:hAnsi="Times New Roman"/>
          <w:sz w:val="24"/>
          <w:szCs w:val="24"/>
        </w:rPr>
        <w:t>. Multiple linear regression analyses of BMI  and other tests</w:t>
      </w:r>
    </w:p>
    <w:tbl>
      <w:tblPr>
        <w:tblStyle w:val="ListeTablo6Renkli"/>
        <w:tblW w:w="0" w:type="auto"/>
        <w:tblLook w:val="04A0" w:firstRow="1" w:lastRow="0" w:firstColumn="1" w:lastColumn="0" w:noHBand="0" w:noVBand="1"/>
      </w:tblPr>
      <w:tblGrid>
        <w:gridCol w:w="2294"/>
        <w:gridCol w:w="2298"/>
        <w:gridCol w:w="2283"/>
      </w:tblGrid>
      <w:tr w:rsidR="00722162" w:rsidRPr="0003077D" w:rsidTr="0003077D">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p>
        </w:tc>
        <w:tc>
          <w:tcPr>
            <w:tcW w:w="2298" w:type="dxa"/>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3077D">
              <w:rPr>
                <w:rFonts w:ascii="Times New Roman" w:hAnsi="Times New Roman"/>
                <w:b w:val="0"/>
                <w:sz w:val="24"/>
                <w:szCs w:val="24"/>
              </w:rPr>
              <w:t>β coefficeint</w:t>
            </w:r>
          </w:p>
        </w:tc>
        <w:tc>
          <w:tcPr>
            <w:tcW w:w="2283" w:type="dxa"/>
            <w:shd w:val="clear" w:color="auto" w:fill="auto"/>
          </w:tcPr>
          <w:p w:rsidR="00722162" w:rsidRPr="0003077D" w:rsidRDefault="00722162" w:rsidP="00150004">
            <w:pPr>
              <w:pStyle w:val="ListeParagraf2"/>
              <w:spacing w:line="48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3077D">
              <w:rPr>
                <w:rFonts w:ascii="Times New Roman" w:hAnsi="Times New Roman"/>
                <w:b w:val="0"/>
                <w:sz w:val="24"/>
                <w:szCs w:val="24"/>
              </w:rPr>
              <w:t xml:space="preserve">P </w:t>
            </w:r>
          </w:p>
        </w:tc>
      </w:tr>
      <w:tr w:rsidR="00722162" w:rsidRPr="0003077D" w:rsidTr="000307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T. Cholesterol</w:t>
            </w:r>
          </w:p>
        </w:tc>
        <w:tc>
          <w:tcPr>
            <w:tcW w:w="1985"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0.012</w:t>
            </w:r>
          </w:p>
        </w:tc>
        <w:tc>
          <w:tcPr>
            <w:tcW w:w="2283"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0.957</w:t>
            </w:r>
          </w:p>
        </w:tc>
      </w:tr>
      <w:tr w:rsidR="00722162" w:rsidRPr="0003077D" w:rsidTr="0003077D">
        <w:trPr>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TG</w:t>
            </w:r>
          </w:p>
        </w:tc>
        <w:tc>
          <w:tcPr>
            <w:tcW w:w="1985"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0.087</w:t>
            </w:r>
          </w:p>
        </w:tc>
        <w:tc>
          <w:tcPr>
            <w:tcW w:w="2283"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0.536</w:t>
            </w:r>
          </w:p>
        </w:tc>
      </w:tr>
      <w:tr w:rsidR="00722162" w:rsidRPr="0003077D" w:rsidTr="0003077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HDL- Cholesterol</w:t>
            </w:r>
          </w:p>
        </w:tc>
        <w:tc>
          <w:tcPr>
            <w:tcW w:w="1985"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-0.286</w:t>
            </w:r>
          </w:p>
        </w:tc>
        <w:tc>
          <w:tcPr>
            <w:tcW w:w="2283"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0.153</w:t>
            </w:r>
          </w:p>
        </w:tc>
      </w:tr>
      <w:tr w:rsidR="00722162" w:rsidRPr="0003077D" w:rsidTr="0003077D">
        <w:trPr>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lastRenderedPageBreak/>
              <w:t>APO A-I</w:t>
            </w:r>
          </w:p>
        </w:tc>
        <w:tc>
          <w:tcPr>
            <w:tcW w:w="1985"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0.119</w:t>
            </w:r>
          </w:p>
        </w:tc>
        <w:tc>
          <w:tcPr>
            <w:tcW w:w="2283"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0.498</w:t>
            </w:r>
          </w:p>
        </w:tc>
      </w:tr>
      <w:tr w:rsidR="00722162" w:rsidRPr="0003077D" w:rsidTr="0003077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APOB</w:t>
            </w:r>
          </w:p>
        </w:tc>
        <w:tc>
          <w:tcPr>
            <w:tcW w:w="1985"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-0.187</w:t>
            </w:r>
          </w:p>
        </w:tc>
        <w:tc>
          <w:tcPr>
            <w:tcW w:w="2283"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0.329</w:t>
            </w:r>
          </w:p>
        </w:tc>
      </w:tr>
      <w:tr w:rsidR="00722162" w:rsidRPr="0003077D" w:rsidTr="0003077D">
        <w:trPr>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ARE</w:t>
            </w:r>
          </w:p>
        </w:tc>
        <w:tc>
          <w:tcPr>
            <w:tcW w:w="1985"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0.010</w:t>
            </w:r>
          </w:p>
        </w:tc>
        <w:tc>
          <w:tcPr>
            <w:tcW w:w="2283"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0.900</w:t>
            </w:r>
          </w:p>
        </w:tc>
      </w:tr>
      <w:tr w:rsidR="00722162" w:rsidRPr="0003077D" w:rsidTr="0003077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4" w:type="dxa"/>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PON</w:t>
            </w:r>
          </w:p>
        </w:tc>
        <w:tc>
          <w:tcPr>
            <w:tcW w:w="1985"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0.036</w:t>
            </w:r>
          </w:p>
        </w:tc>
        <w:tc>
          <w:tcPr>
            <w:tcW w:w="2283"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0.665</w:t>
            </w:r>
          </w:p>
        </w:tc>
      </w:tr>
      <w:tr w:rsidR="00722162" w:rsidRPr="0003077D" w:rsidTr="0003077D">
        <w:trPr>
          <w:trHeight w:val="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D-LDL- Cholesterol</w:t>
            </w:r>
          </w:p>
        </w:tc>
        <w:tc>
          <w:tcPr>
            <w:tcW w:w="1985"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0.275</w:t>
            </w:r>
          </w:p>
        </w:tc>
        <w:tc>
          <w:tcPr>
            <w:tcW w:w="2283"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0.103</w:t>
            </w:r>
          </w:p>
        </w:tc>
      </w:tr>
      <w:tr w:rsidR="00722162" w:rsidRPr="0003077D" w:rsidTr="0003077D">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HOMA-IR</w:t>
            </w:r>
          </w:p>
        </w:tc>
        <w:tc>
          <w:tcPr>
            <w:tcW w:w="1985"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0.238</w:t>
            </w:r>
          </w:p>
        </w:tc>
        <w:tc>
          <w:tcPr>
            <w:tcW w:w="2283" w:type="dxa"/>
            <w:shd w:val="clear" w:color="auto" w:fill="auto"/>
          </w:tcPr>
          <w:p w:rsidR="00722162" w:rsidRPr="0003077D" w:rsidRDefault="00722162" w:rsidP="00150004">
            <w:pPr>
              <w:pStyle w:val="ListeParagraf2"/>
              <w:spacing w:line="48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0.006</w:t>
            </w:r>
          </w:p>
        </w:tc>
      </w:tr>
      <w:tr w:rsidR="00722162" w:rsidRPr="0003077D" w:rsidTr="0003077D">
        <w:trPr>
          <w:trHeight w:val="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22162" w:rsidRPr="0003077D" w:rsidRDefault="00722162" w:rsidP="00150004">
            <w:pPr>
              <w:pStyle w:val="ListeParagraf2"/>
              <w:spacing w:line="480" w:lineRule="auto"/>
              <w:ind w:left="0"/>
              <w:jc w:val="both"/>
              <w:rPr>
                <w:rFonts w:ascii="Times New Roman" w:hAnsi="Times New Roman"/>
                <w:b w:val="0"/>
                <w:sz w:val="24"/>
                <w:szCs w:val="24"/>
              </w:rPr>
            </w:pPr>
            <w:r w:rsidRPr="0003077D">
              <w:rPr>
                <w:rFonts w:ascii="Times New Roman" w:hAnsi="Times New Roman"/>
                <w:b w:val="0"/>
                <w:sz w:val="24"/>
                <w:szCs w:val="24"/>
              </w:rPr>
              <w:t>hsCRP</w:t>
            </w:r>
          </w:p>
        </w:tc>
        <w:tc>
          <w:tcPr>
            <w:tcW w:w="1985"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0.436</w:t>
            </w:r>
          </w:p>
        </w:tc>
        <w:tc>
          <w:tcPr>
            <w:tcW w:w="2283" w:type="dxa"/>
            <w:shd w:val="clear" w:color="auto" w:fill="auto"/>
          </w:tcPr>
          <w:p w:rsidR="00722162" w:rsidRPr="0003077D" w:rsidRDefault="00722162" w:rsidP="00150004">
            <w:pPr>
              <w:pStyle w:val="ListeParagraf2"/>
              <w:spacing w:line="48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3077D">
              <w:rPr>
                <w:rFonts w:ascii="Times New Roman" w:hAnsi="Times New Roman"/>
                <w:sz w:val="24"/>
                <w:szCs w:val="24"/>
              </w:rPr>
              <w:t>0.000</w:t>
            </w:r>
          </w:p>
        </w:tc>
      </w:tr>
    </w:tbl>
    <w:p w:rsidR="00E672B8" w:rsidRPr="00722162" w:rsidRDefault="00E672B8" w:rsidP="00722162">
      <w:pPr>
        <w:spacing w:line="480" w:lineRule="auto"/>
      </w:pPr>
    </w:p>
    <w:p w:rsidR="00675726" w:rsidRPr="00E672B8" w:rsidRDefault="00675726" w:rsidP="00E0580C">
      <w:pPr>
        <w:spacing w:line="480" w:lineRule="auto"/>
        <w:jc w:val="both"/>
      </w:pPr>
    </w:p>
    <w:p w:rsidR="005A0D18" w:rsidRPr="00E672B8" w:rsidRDefault="005A0D18" w:rsidP="00E0580C">
      <w:pPr>
        <w:spacing w:line="480" w:lineRule="auto"/>
        <w:jc w:val="both"/>
      </w:pPr>
    </w:p>
    <w:p w:rsidR="003A4BF9" w:rsidRPr="00E672B8" w:rsidRDefault="003A4BF9" w:rsidP="00E0580C">
      <w:pPr>
        <w:spacing w:line="480" w:lineRule="auto"/>
        <w:jc w:val="both"/>
        <w:rPr>
          <w:lang w:eastAsia="en-US"/>
        </w:rPr>
      </w:pPr>
    </w:p>
    <w:p w:rsidR="003A4BF9" w:rsidRPr="00E672B8" w:rsidRDefault="003A4BF9" w:rsidP="00E0580C">
      <w:pPr>
        <w:spacing w:line="480" w:lineRule="auto"/>
        <w:jc w:val="both"/>
        <w:rPr>
          <w:lang w:eastAsia="en-US"/>
        </w:rPr>
      </w:pPr>
    </w:p>
    <w:p w:rsidR="003A4BF9" w:rsidRPr="00E672B8" w:rsidRDefault="003A4BF9" w:rsidP="00E0580C">
      <w:pPr>
        <w:tabs>
          <w:tab w:val="left" w:pos="1170"/>
        </w:tabs>
        <w:spacing w:line="480" w:lineRule="auto"/>
        <w:jc w:val="both"/>
        <w:rPr>
          <w:lang w:eastAsia="en-US"/>
        </w:rPr>
      </w:pPr>
      <w:r w:rsidRPr="00E672B8">
        <w:rPr>
          <w:lang w:eastAsia="en-US"/>
        </w:rPr>
        <w:tab/>
      </w:r>
    </w:p>
    <w:p w:rsidR="003A4BF9" w:rsidRPr="00E672B8" w:rsidRDefault="003A4BF9" w:rsidP="00E0580C">
      <w:pPr>
        <w:tabs>
          <w:tab w:val="left" w:pos="5470"/>
        </w:tabs>
        <w:spacing w:line="480" w:lineRule="auto"/>
        <w:jc w:val="both"/>
        <w:rPr>
          <w:lang w:eastAsia="en-US"/>
        </w:rPr>
      </w:pPr>
    </w:p>
    <w:p w:rsidR="003A4BF9" w:rsidRPr="00E672B8" w:rsidRDefault="003A4BF9" w:rsidP="00E0580C">
      <w:pPr>
        <w:autoSpaceDE w:val="0"/>
        <w:autoSpaceDN w:val="0"/>
        <w:adjustRightInd w:val="0"/>
        <w:spacing w:line="480" w:lineRule="auto"/>
        <w:jc w:val="both"/>
      </w:pPr>
    </w:p>
    <w:p w:rsidR="003A4BF9" w:rsidRPr="00E672B8" w:rsidRDefault="003A4BF9" w:rsidP="00E0580C">
      <w:pPr>
        <w:autoSpaceDE w:val="0"/>
        <w:autoSpaceDN w:val="0"/>
        <w:adjustRightInd w:val="0"/>
        <w:spacing w:line="480" w:lineRule="auto"/>
        <w:jc w:val="both"/>
      </w:pPr>
    </w:p>
    <w:p w:rsidR="00E10306" w:rsidRPr="00E672B8" w:rsidRDefault="00E10306" w:rsidP="00E0580C">
      <w:pPr>
        <w:autoSpaceDE w:val="0"/>
        <w:autoSpaceDN w:val="0"/>
        <w:adjustRightInd w:val="0"/>
        <w:spacing w:line="480" w:lineRule="auto"/>
        <w:jc w:val="both"/>
      </w:pPr>
    </w:p>
    <w:p w:rsidR="00E10306" w:rsidRPr="00E672B8" w:rsidRDefault="00E10306" w:rsidP="00E0580C">
      <w:pPr>
        <w:autoSpaceDE w:val="0"/>
        <w:autoSpaceDN w:val="0"/>
        <w:adjustRightInd w:val="0"/>
        <w:spacing w:line="480" w:lineRule="auto"/>
        <w:jc w:val="both"/>
      </w:pPr>
    </w:p>
    <w:p w:rsidR="00E10306" w:rsidRPr="00E672B8" w:rsidRDefault="00E10306" w:rsidP="00E0580C">
      <w:pPr>
        <w:autoSpaceDE w:val="0"/>
        <w:autoSpaceDN w:val="0"/>
        <w:adjustRightInd w:val="0"/>
        <w:spacing w:line="480" w:lineRule="auto"/>
        <w:jc w:val="both"/>
      </w:pPr>
    </w:p>
    <w:p w:rsidR="00ED7B28" w:rsidRPr="00E672B8" w:rsidRDefault="00ED7B28" w:rsidP="00E0580C">
      <w:pPr>
        <w:autoSpaceDE w:val="0"/>
        <w:autoSpaceDN w:val="0"/>
        <w:adjustRightInd w:val="0"/>
        <w:spacing w:line="480" w:lineRule="auto"/>
        <w:jc w:val="both"/>
      </w:pPr>
    </w:p>
    <w:p w:rsidR="00ED7B28" w:rsidRPr="00E672B8" w:rsidRDefault="007568B2" w:rsidP="00E0580C">
      <w:pPr>
        <w:pStyle w:val="authlist"/>
        <w:shd w:val="clear" w:color="auto" w:fill="FFFFFF"/>
        <w:spacing w:line="480" w:lineRule="auto"/>
        <w:jc w:val="both"/>
      </w:pPr>
      <w:r w:rsidRPr="00E672B8">
        <w:t xml:space="preserve">   </w:t>
      </w:r>
    </w:p>
    <w:sectPr w:rsidR="00ED7B28" w:rsidRPr="00E672B8" w:rsidSect="00020305">
      <w:headerReference w:type="default" r:id="rId13"/>
      <w:footerReference w:type="even" r:id="rId14"/>
      <w:footerReference w:type="default" r:id="rId15"/>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704" w:rsidRDefault="007A3704">
      <w:r>
        <w:separator/>
      </w:r>
    </w:p>
  </w:endnote>
  <w:endnote w:type="continuationSeparator" w:id="0">
    <w:p w:rsidR="007A3704" w:rsidRDefault="007A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B4" w:rsidRDefault="00B637B4" w:rsidP="0073113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637B4" w:rsidRDefault="00B637B4" w:rsidP="000E0BB7">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B4" w:rsidRDefault="00B637B4" w:rsidP="000E0BB7">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704" w:rsidRDefault="007A3704">
      <w:r>
        <w:separator/>
      </w:r>
    </w:p>
  </w:footnote>
  <w:footnote w:type="continuationSeparator" w:id="0">
    <w:p w:rsidR="007A3704" w:rsidRDefault="007A3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7B4" w:rsidRDefault="00B637B4">
    <w:pPr>
      <w:pStyle w:val="stbilgi"/>
      <w:jc w:val="right"/>
    </w:pPr>
    <w:r>
      <w:fldChar w:fldCharType="begin"/>
    </w:r>
    <w:r>
      <w:instrText xml:space="preserve"> PAGE   \* MERGEFORMAT </w:instrText>
    </w:r>
    <w:r>
      <w:fldChar w:fldCharType="separate"/>
    </w:r>
    <w:r w:rsidR="002E4466">
      <w:rPr>
        <w:noProof/>
      </w:rPr>
      <w:t>20</w:t>
    </w:r>
    <w:r>
      <w:rPr>
        <w:noProof/>
      </w:rPr>
      <w:fldChar w:fldCharType="end"/>
    </w:r>
  </w:p>
  <w:p w:rsidR="00B637B4" w:rsidRDefault="00B637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975C9"/>
    <w:multiLevelType w:val="hybridMultilevel"/>
    <w:tmpl w:val="9202E31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027050"/>
    <w:multiLevelType w:val="hybridMultilevel"/>
    <w:tmpl w:val="25F0E148"/>
    <w:lvl w:ilvl="0" w:tplc="041F000F">
      <w:start w:val="1"/>
      <w:numFmt w:val="decimal"/>
      <w:lvlText w:val="%1."/>
      <w:lvlJc w:val="left"/>
      <w:pPr>
        <w:tabs>
          <w:tab w:val="num" w:pos="1320"/>
        </w:tabs>
        <w:ind w:left="13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1257B73"/>
    <w:multiLevelType w:val="hybridMultilevel"/>
    <w:tmpl w:val="8F38CC84"/>
    <w:lvl w:ilvl="0" w:tplc="3BEC2CD4">
      <w:start w:val="95"/>
      <w:numFmt w:val="decimal"/>
      <w:lvlText w:val="%1."/>
      <w:lvlJc w:val="left"/>
      <w:pPr>
        <w:tabs>
          <w:tab w:val="num" w:pos="927"/>
        </w:tabs>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2737658"/>
    <w:multiLevelType w:val="hybridMultilevel"/>
    <w:tmpl w:val="E6B8C38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5022F86"/>
    <w:multiLevelType w:val="hybridMultilevel"/>
    <w:tmpl w:val="E94A62B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
    <w:nsid w:val="17B35FE1"/>
    <w:multiLevelType w:val="hybridMultilevel"/>
    <w:tmpl w:val="EE469AE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6A17CE7"/>
    <w:multiLevelType w:val="hybridMultilevel"/>
    <w:tmpl w:val="EDBE2C6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1646950"/>
    <w:multiLevelType w:val="hybridMultilevel"/>
    <w:tmpl w:val="74CE644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033027E"/>
    <w:multiLevelType w:val="hybridMultilevel"/>
    <w:tmpl w:val="95961BBC"/>
    <w:lvl w:ilvl="0" w:tplc="CCF4457C">
      <w:start w:val="1"/>
      <w:numFmt w:val="decimal"/>
      <w:lvlText w:val="%1."/>
      <w:lvlJc w:val="left"/>
      <w:pPr>
        <w:tabs>
          <w:tab w:val="num" w:pos="480"/>
        </w:tabs>
        <w:ind w:left="1200" w:hanging="360"/>
      </w:pPr>
      <w:rPr>
        <w:rFonts w:hint="default"/>
        <w:b/>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9">
    <w:nsid w:val="53082E93"/>
    <w:multiLevelType w:val="hybridMultilevel"/>
    <w:tmpl w:val="FE9E8210"/>
    <w:lvl w:ilvl="0" w:tplc="041F000F">
      <w:start w:val="1"/>
      <w:numFmt w:val="decimal"/>
      <w:lvlText w:val="%1."/>
      <w:lvlJc w:val="left"/>
      <w:pPr>
        <w:ind w:left="784" w:hanging="360"/>
      </w:p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10">
    <w:nsid w:val="5FEA55D0"/>
    <w:multiLevelType w:val="hybridMultilevel"/>
    <w:tmpl w:val="73A4E700"/>
    <w:lvl w:ilvl="0" w:tplc="C6984752">
      <w:start w:val="240"/>
      <w:numFmt w:val="decimal"/>
      <w:lvlText w:val="%1"/>
      <w:lvlJc w:val="left"/>
      <w:pPr>
        <w:ind w:left="1069" w:hanging="360"/>
      </w:pPr>
      <w:rPr>
        <w:rFonts w:cs="Times New Roman" w:hint="default"/>
      </w:rPr>
    </w:lvl>
    <w:lvl w:ilvl="1" w:tplc="041F0019">
      <w:start w:val="1"/>
      <w:numFmt w:val="lowerLetter"/>
      <w:lvlText w:val="%2."/>
      <w:lvlJc w:val="left"/>
      <w:pPr>
        <w:ind w:left="1789" w:hanging="360"/>
      </w:pPr>
      <w:rPr>
        <w:rFonts w:cs="Times New Roman"/>
      </w:rPr>
    </w:lvl>
    <w:lvl w:ilvl="2" w:tplc="041F001B">
      <w:start w:val="1"/>
      <w:numFmt w:val="lowerRoman"/>
      <w:lvlText w:val="%3."/>
      <w:lvlJc w:val="right"/>
      <w:pPr>
        <w:ind w:left="2509" w:hanging="180"/>
      </w:pPr>
      <w:rPr>
        <w:rFonts w:cs="Times New Roman"/>
      </w:rPr>
    </w:lvl>
    <w:lvl w:ilvl="3" w:tplc="041F000F">
      <w:start w:val="1"/>
      <w:numFmt w:val="decimal"/>
      <w:lvlText w:val="%4."/>
      <w:lvlJc w:val="left"/>
      <w:pPr>
        <w:ind w:left="3229" w:hanging="360"/>
      </w:pPr>
      <w:rPr>
        <w:rFonts w:cs="Times New Roman"/>
      </w:rPr>
    </w:lvl>
    <w:lvl w:ilvl="4" w:tplc="041F0019">
      <w:start w:val="1"/>
      <w:numFmt w:val="lowerLetter"/>
      <w:lvlText w:val="%5."/>
      <w:lvlJc w:val="left"/>
      <w:pPr>
        <w:ind w:left="3949" w:hanging="360"/>
      </w:pPr>
      <w:rPr>
        <w:rFonts w:cs="Times New Roman"/>
      </w:rPr>
    </w:lvl>
    <w:lvl w:ilvl="5" w:tplc="041F001B">
      <w:start w:val="1"/>
      <w:numFmt w:val="lowerRoman"/>
      <w:lvlText w:val="%6."/>
      <w:lvlJc w:val="right"/>
      <w:pPr>
        <w:ind w:left="4669" w:hanging="180"/>
      </w:pPr>
      <w:rPr>
        <w:rFonts w:cs="Times New Roman"/>
      </w:rPr>
    </w:lvl>
    <w:lvl w:ilvl="6" w:tplc="041F000F">
      <w:start w:val="1"/>
      <w:numFmt w:val="decimal"/>
      <w:lvlText w:val="%7."/>
      <w:lvlJc w:val="left"/>
      <w:pPr>
        <w:ind w:left="5389" w:hanging="360"/>
      </w:pPr>
      <w:rPr>
        <w:rFonts w:cs="Times New Roman"/>
      </w:rPr>
    </w:lvl>
    <w:lvl w:ilvl="7" w:tplc="041F0019">
      <w:start w:val="1"/>
      <w:numFmt w:val="lowerLetter"/>
      <w:lvlText w:val="%8."/>
      <w:lvlJc w:val="left"/>
      <w:pPr>
        <w:ind w:left="6109" w:hanging="360"/>
      </w:pPr>
      <w:rPr>
        <w:rFonts w:cs="Times New Roman"/>
      </w:rPr>
    </w:lvl>
    <w:lvl w:ilvl="8" w:tplc="041F001B">
      <w:start w:val="1"/>
      <w:numFmt w:val="lowerRoman"/>
      <w:lvlText w:val="%9."/>
      <w:lvlJc w:val="right"/>
      <w:pPr>
        <w:ind w:left="6829" w:hanging="180"/>
      </w:pPr>
      <w:rPr>
        <w:rFonts w:cs="Times New Roman"/>
      </w:rPr>
    </w:lvl>
  </w:abstractNum>
  <w:abstractNum w:abstractNumId="11">
    <w:nsid w:val="71075916"/>
    <w:multiLevelType w:val="hybridMultilevel"/>
    <w:tmpl w:val="C3C87BA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4250B9F"/>
    <w:multiLevelType w:val="hybridMultilevel"/>
    <w:tmpl w:val="02F25438"/>
    <w:lvl w:ilvl="0" w:tplc="ECE82F3E">
      <w:start w:val="1"/>
      <w:numFmt w:val="decimal"/>
      <w:lvlText w:val="%1."/>
      <w:lvlJc w:val="left"/>
      <w:pPr>
        <w:ind w:left="2204"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13">
    <w:nsid w:val="77D74428"/>
    <w:multiLevelType w:val="hybridMultilevel"/>
    <w:tmpl w:val="DAE05AF4"/>
    <w:lvl w:ilvl="0" w:tplc="041F0001">
      <w:start w:val="1"/>
      <w:numFmt w:val="bullet"/>
      <w:lvlText w:val=""/>
      <w:lvlJc w:val="left"/>
      <w:pPr>
        <w:tabs>
          <w:tab w:val="num" w:pos="1200"/>
        </w:tabs>
        <w:ind w:left="120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num w:numId="1">
    <w:abstractNumId w:val="12"/>
  </w:num>
  <w:num w:numId="2">
    <w:abstractNumId w:val="10"/>
  </w:num>
  <w:num w:numId="3">
    <w:abstractNumId w:val="1"/>
  </w:num>
  <w:num w:numId="4">
    <w:abstractNumId w:val="0"/>
  </w:num>
  <w:num w:numId="5">
    <w:abstractNumId w:val="6"/>
  </w:num>
  <w:num w:numId="6">
    <w:abstractNumId w:val="5"/>
  </w:num>
  <w:num w:numId="7">
    <w:abstractNumId w:val="11"/>
  </w:num>
  <w:num w:numId="8">
    <w:abstractNumId w:val="2"/>
  </w:num>
  <w:num w:numId="9">
    <w:abstractNumId w:val="3"/>
  </w:num>
  <w:num w:numId="10">
    <w:abstractNumId w:val="13"/>
  </w:num>
  <w:num w:numId="11">
    <w:abstractNumId w:val="8"/>
  </w:num>
  <w:num w:numId="12">
    <w:abstractNumId w:val="7"/>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13"/>
    <w:rsid w:val="000002D4"/>
    <w:rsid w:val="00001DBF"/>
    <w:rsid w:val="000023E5"/>
    <w:rsid w:val="000027E1"/>
    <w:rsid w:val="000027E2"/>
    <w:rsid w:val="00002E3E"/>
    <w:rsid w:val="00003A65"/>
    <w:rsid w:val="00007140"/>
    <w:rsid w:val="00007380"/>
    <w:rsid w:val="0000780D"/>
    <w:rsid w:val="00007F59"/>
    <w:rsid w:val="000100E4"/>
    <w:rsid w:val="000118A0"/>
    <w:rsid w:val="000139B2"/>
    <w:rsid w:val="00013AB9"/>
    <w:rsid w:val="0001645B"/>
    <w:rsid w:val="00016637"/>
    <w:rsid w:val="000178B6"/>
    <w:rsid w:val="00017A1C"/>
    <w:rsid w:val="00020305"/>
    <w:rsid w:val="00020A9D"/>
    <w:rsid w:val="0002335C"/>
    <w:rsid w:val="00023833"/>
    <w:rsid w:val="00023F77"/>
    <w:rsid w:val="00024FBF"/>
    <w:rsid w:val="000252ED"/>
    <w:rsid w:val="000261A1"/>
    <w:rsid w:val="00026E28"/>
    <w:rsid w:val="0003077D"/>
    <w:rsid w:val="00030FFC"/>
    <w:rsid w:val="0003103B"/>
    <w:rsid w:val="00032661"/>
    <w:rsid w:val="00035F1A"/>
    <w:rsid w:val="00037557"/>
    <w:rsid w:val="00040FD9"/>
    <w:rsid w:val="00040FDC"/>
    <w:rsid w:val="000426EA"/>
    <w:rsid w:val="00044833"/>
    <w:rsid w:val="00044B13"/>
    <w:rsid w:val="00044B27"/>
    <w:rsid w:val="0004570D"/>
    <w:rsid w:val="00045714"/>
    <w:rsid w:val="00045D3E"/>
    <w:rsid w:val="00047321"/>
    <w:rsid w:val="00047BFD"/>
    <w:rsid w:val="000505DF"/>
    <w:rsid w:val="00050FEC"/>
    <w:rsid w:val="0005236C"/>
    <w:rsid w:val="00052AFA"/>
    <w:rsid w:val="00053A82"/>
    <w:rsid w:val="00055855"/>
    <w:rsid w:val="00055FF1"/>
    <w:rsid w:val="00056208"/>
    <w:rsid w:val="000566D4"/>
    <w:rsid w:val="00056D35"/>
    <w:rsid w:val="00060717"/>
    <w:rsid w:val="000607BD"/>
    <w:rsid w:val="0006255C"/>
    <w:rsid w:val="00063D15"/>
    <w:rsid w:val="000648DC"/>
    <w:rsid w:val="00065B00"/>
    <w:rsid w:val="00066290"/>
    <w:rsid w:val="0006640A"/>
    <w:rsid w:val="000664E6"/>
    <w:rsid w:val="00066E0F"/>
    <w:rsid w:val="00067E55"/>
    <w:rsid w:val="00071E7E"/>
    <w:rsid w:val="00072866"/>
    <w:rsid w:val="000762F6"/>
    <w:rsid w:val="00076686"/>
    <w:rsid w:val="00080B5A"/>
    <w:rsid w:val="0008143C"/>
    <w:rsid w:val="00081B42"/>
    <w:rsid w:val="00081D31"/>
    <w:rsid w:val="00081DC2"/>
    <w:rsid w:val="00082E8B"/>
    <w:rsid w:val="00083FA2"/>
    <w:rsid w:val="00086408"/>
    <w:rsid w:val="000864FF"/>
    <w:rsid w:val="0008755F"/>
    <w:rsid w:val="00087BD9"/>
    <w:rsid w:val="00090059"/>
    <w:rsid w:val="00090334"/>
    <w:rsid w:val="00090414"/>
    <w:rsid w:val="00090A1C"/>
    <w:rsid w:val="00090CFE"/>
    <w:rsid w:val="00091423"/>
    <w:rsid w:val="0009234C"/>
    <w:rsid w:val="00093B74"/>
    <w:rsid w:val="00095191"/>
    <w:rsid w:val="0009684D"/>
    <w:rsid w:val="00096F58"/>
    <w:rsid w:val="000A06DB"/>
    <w:rsid w:val="000A18BF"/>
    <w:rsid w:val="000A2E92"/>
    <w:rsid w:val="000A3065"/>
    <w:rsid w:val="000A3F00"/>
    <w:rsid w:val="000A3F42"/>
    <w:rsid w:val="000A4318"/>
    <w:rsid w:val="000A4461"/>
    <w:rsid w:val="000A512E"/>
    <w:rsid w:val="000A5C2B"/>
    <w:rsid w:val="000A609A"/>
    <w:rsid w:val="000A726E"/>
    <w:rsid w:val="000A7EAA"/>
    <w:rsid w:val="000A7EBA"/>
    <w:rsid w:val="000B1AB6"/>
    <w:rsid w:val="000B2B71"/>
    <w:rsid w:val="000B3D8E"/>
    <w:rsid w:val="000B3FB3"/>
    <w:rsid w:val="000B5C57"/>
    <w:rsid w:val="000B7BF4"/>
    <w:rsid w:val="000C001B"/>
    <w:rsid w:val="000C180F"/>
    <w:rsid w:val="000C1D56"/>
    <w:rsid w:val="000C201C"/>
    <w:rsid w:val="000C3D33"/>
    <w:rsid w:val="000C4706"/>
    <w:rsid w:val="000C4F62"/>
    <w:rsid w:val="000C5FF5"/>
    <w:rsid w:val="000C6C9C"/>
    <w:rsid w:val="000C7256"/>
    <w:rsid w:val="000D100C"/>
    <w:rsid w:val="000D182E"/>
    <w:rsid w:val="000D29D0"/>
    <w:rsid w:val="000D304B"/>
    <w:rsid w:val="000D30A6"/>
    <w:rsid w:val="000D3879"/>
    <w:rsid w:val="000D422E"/>
    <w:rsid w:val="000D6771"/>
    <w:rsid w:val="000D681D"/>
    <w:rsid w:val="000D74A5"/>
    <w:rsid w:val="000D77DA"/>
    <w:rsid w:val="000E0124"/>
    <w:rsid w:val="000E0BB7"/>
    <w:rsid w:val="000E29B9"/>
    <w:rsid w:val="000E334B"/>
    <w:rsid w:val="000E3487"/>
    <w:rsid w:val="000E390B"/>
    <w:rsid w:val="000E5CF2"/>
    <w:rsid w:val="000E649F"/>
    <w:rsid w:val="000E69B5"/>
    <w:rsid w:val="000F0B65"/>
    <w:rsid w:val="000F1072"/>
    <w:rsid w:val="000F1B10"/>
    <w:rsid w:val="000F1E22"/>
    <w:rsid w:val="000F3266"/>
    <w:rsid w:val="000F468E"/>
    <w:rsid w:val="000F4D17"/>
    <w:rsid w:val="000F5A10"/>
    <w:rsid w:val="00100E32"/>
    <w:rsid w:val="00100FBF"/>
    <w:rsid w:val="00101B76"/>
    <w:rsid w:val="00101BF9"/>
    <w:rsid w:val="0010353D"/>
    <w:rsid w:val="00104449"/>
    <w:rsid w:val="00105761"/>
    <w:rsid w:val="00106FE9"/>
    <w:rsid w:val="001070EE"/>
    <w:rsid w:val="00107C21"/>
    <w:rsid w:val="00112795"/>
    <w:rsid w:val="00114BE0"/>
    <w:rsid w:val="00114C91"/>
    <w:rsid w:val="00115720"/>
    <w:rsid w:val="00117C69"/>
    <w:rsid w:val="00117EBA"/>
    <w:rsid w:val="0012027F"/>
    <w:rsid w:val="00120F5F"/>
    <w:rsid w:val="001220F5"/>
    <w:rsid w:val="001226F5"/>
    <w:rsid w:val="001233E8"/>
    <w:rsid w:val="00123DCC"/>
    <w:rsid w:val="00124168"/>
    <w:rsid w:val="00124226"/>
    <w:rsid w:val="00125790"/>
    <w:rsid w:val="001274E7"/>
    <w:rsid w:val="00127C19"/>
    <w:rsid w:val="001317EA"/>
    <w:rsid w:val="00131C3C"/>
    <w:rsid w:val="00131C46"/>
    <w:rsid w:val="001329DB"/>
    <w:rsid w:val="00133C6C"/>
    <w:rsid w:val="00134AC4"/>
    <w:rsid w:val="00135236"/>
    <w:rsid w:val="0013711C"/>
    <w:rsid w:val="001376FA"/>
    <w:rsid w:val="001401C7"/>
    <w:rsid w:val="001412A2"/>
    <w:rsid w:val="00142DFA"/>
    <w:rsid w:val="001438AA"/>
    <w:rsid w:val="00143C1E"/>
    <w:rsid w:val="001444E2"/>
    <w:rsid w:val="00144700"/>
    <w:rsid w:val="0014492D"/>
    <w:rsid w:val="00144EC9"/>
    <w:rsid w:val="00145335"/>
    <w:rsid w:val="00145A4B"/>
    <w:rsid w:val="00146334"/>
    <w:rsid w:val="00147490"/>
    <w:rsid w:val="00150004"/>
    <w:rsid w:val="00150EEF"/>
    <w:rsid w:val="001532EE"/>
    <w:rsid w:val="00153557"/>
    <w:rsid w:val="001560E7"/>
    <w:rsid w:val="001567E3"/>
    <w:rsid w:val="00156876"/>
    <w:rsid w:val="001568F2"/>
    <w:rsid w:val="00160B1F"/>
    <w:rsid w:val="001639A6"/>
    <w:rsid w:val="00164083"/>
    <w:rsid w:val="001644BF"/>
    <w:rsid w:val="0016731F"/>
    <w:rsid w:val="00167C47"/>
    <w:rsid w:val="001701B1"/>
    <w:rsid w:val="00170997"/>
    <w:rsid w:val="0017099E"/>
    <w:rsid w:val="00173509"/>
    <w:rsid w:val="00173CA5"/>
    <w:rsid w:val="00173E8D"/>
    <w:rsid w:val="001745A0"/>
    <w:rsid w:val="00174CD9"/>
    <w:rsid w:val="00176BFA"/>
    <w:rsid w:val="00177501"/>
    <w:rsid w:val="001803C5"/>
    <w:rsid w:val="001807AB"/>
    <w:rsid w:val="001820CD"/>
    <w:rsid w:val="0018245E"/>
    <w:rsid w:val="00184BB2"/>
    <w:rsid w:val="00184D33"/>
    <w:rsid w:val="00186028"/>
    <w:rsid w:val="001867A6"/>
    <w:rsid w:val="0018681B"/>
    <w:rsid w:val="00187335"/>
    <w:rsid w:val="00187B0B"/>
    <w:rsid w:val="00187B7B"/>
    <w:rsid w:val="00191D20"/>
    <w:rsid w:val="001931CC"/>
    <w:rsid w:val="00195C2B"/>
    <w:rsid w:val="001A15EC"/>
    <w:rsid w:val="001A1AC8"/>
    <w:rsid w:val="001A3003"/>
    <w:rsid w:val="001A3CB3"/>
    <w:rsid w:val="001A45B1"/>
    <w:rsid w:val="001A5C2D"/>
    <w:rsid w:val="001A670E"/>
    <w:rsid w:val="001A6B22"/>
    <w:rsid w:val="001A6C04"/>
    <w:rsid w:val="001A738D"/>
    <w:rsid w:val="001B0DE4"/>
    <w:rsid w:val="001B100A"/>
    <w:rsid w:val="001B13DC"/>
    <w:rsid w:val="001B1A0A"/>
    <w:rsid w:val="001B318B"/>
    <w:rsid w:val="001B373E"/>
    <w:rsid w:val="001B57E9"/>
    <w:rsid w:val="001B60EB"/>
    <w:rsid w:val="001C09AC"/>
    <w:rsid w:val="001C28E6"/>
    <w:rsid w:val="001C2F02"/>
    <w:rsid w:val="001C370D"/>
    <w:rsid w:val="001C3E12"/>
    <w:rsid w:val="001C44F6"/>
    <w:rsid w:val="001C4DCA"/>
    <w:rsid w:val="001C5012"/>
    <w:rsid w:val="001C53A3"/>
    <w:rsid w:val="001C5F83"/>
    <w:rsid w:val="001C6071"/>
    <w:rsid w:val="001C685E"/>
    <w:rsid w:val="001C6DF2"/>
    <w:rsid w:val="001C6EB9"/>
    <w:rsid w:val="001C7401"/>
    <w:rsid w:val="001D19C3"/>
    <w:rsid w:val="001D270D"/>
    <w:rsid w:val="001D37ED"/>
    <w:rsid w:val="001D4557"/>
    <w:rsid w:val="001D4B31"/>
    <w:rsid w:val="001D4E75"/>
    <w:rsid w:val="001D5897"/>
    <w:rsid w:val="001D593B"/>
    <w:rsid w:val="001D5E89"/>
    <w:rsid w:val="001D697C"/>
    <w:rsid w:val="001D7BB5"/>
    <w:rsid w:val="001D7F04"/>
    <w:rsid w:val="001E1890"/>
    <w:rsid w:val="001E2054"/>
    <w:rsid w:val="001E423B"/>
    <w:rsid w:val="001E4711"/>
    <w:rsid w:val="001E50F2"/>
    <w:rsid w:val="001E7005"/>
    <w:rsid w:val="001F05F9"/>
    <w:rsid w:val="001F0B42"/>
    <w:rsid w:val="001F0F28"/>
    <w:rsid w:val="001F1A55"/>
    <w:rsid w:val="001F2E32"/>
    <w:rsid w:val="001F521E"/>
    <w:rsid w:val="001F56E1"/>
    <w:rsid w:val="001F58F3"/>
    <w:rsid w:val="00200DA3"/>
    <w:rsid w:val="002024BC"/>
    <w:rsid w:val="00206F30"/>
    <w:rsid w:val="002101AA"/>
    <w:rsid w:val="0021073A"/>
    <w:rsid w:val="00211364"/>
    <w:rsid w:val="002119D6"/>
    <w:rsid w:val="00211C14"/>
    <w:rsid w:val="002147AB"/>
    <w:rsid w:val="002149E6"/>
    <w:rsid w:val="00215DF2"/>
    <w:rsid w:val="00215FA1"/>
    <w:rsid w:val="0021683E"/>
    <w:rsid w:val="00216ED7"/>
    <w:rsid w:val="00221A0B"/>
    <w:rsid w:val="00222F5B"/>
    <w:rsid w:val="00223EAD"/>
    <w:rsid w:val="0022467D"/>
    <w:rsid w:val="00224CA1"/>
    <w:rsid w:val="0022726C"/>
    <w:rsid w:val="002272D2"/>
    <w:rsid w:val="00227784"/>
    <w:rsid w:val="0023039E"/>
    <w:rsid w:val="00231367"/>
    <w:rsid w:val="00231E94"/>
    <w:rsid w:val="002320E5"/>
    <w:rsid w:val="00235E19"/>
    <w:rsid w:val="00235EC6"/>
    <w:rsid w:val="0023670B"/>
    <w:rsid w:val="00237AAD"/>
    <w:rsid w:val="00240107"/>
    <w:rsid w:val="00240B7B"/>
    <w:rsid w:val="0024316C"/>
    <w:rsid w:val="0024369C"/>
    <w:rsid w:val="00243E77"/>
    <w:rsid w:val="00244824"/>
    <w:rsid w:val="00244908"/>
    <w:rsid w:val="00245C04"/>
    <w:rsid w:val="00245C79"/>
    <w:rsid w:val="00246829"/>
    <w:rsid w:val="00246D21"/>
    <w:rsid w:val="00246DF5"/>
    <w:rsid w:val="00250E80"/>
    <w:rsid w:val="002536E0"/>
    <w:rsid w:val="00253E6E"/>
    <w:rsid w:val="00254350"/>
    <w:rsid w:val="00256D1C"/>
    <w:rsid w:val="00257173"/>
    <w:rsid w:val="00257B52"/>
    <w:rsid w:val="00257D08"/>
    <w:rsid w:val="002611EF"/>
    <w:rsid w:val="00261F9B"/>
    <w:rsid w:val="00262194"/>
    <w:rsid w:val="00262CA6"/>
    <w:rsid w:val="00262E1E"/>
    <w:rsid w:val="00263D4C"/>
    <w:rsid w:val="00264145"/>
    <w:rsid w:val="002647C3"/>
    <w:rsid w:val="00265259"/>
    <w:rsid w:val="00266774"/>
    <w:rsid w:val="002710D1"/>
    <w:rsid w:val="002710D2"/>
    <w:rsid w:val="002749A5"/>
    <w:rsid w:val="0027623B"/>
    <w:rsid w:val="002770A2"/>
    <w:rsid w:val="00280AB9"/>
    <w:rsid w:val="002813B3"/>
    <w:rsid w:val="002824DE"/>
    <w:rsid w:val="00282E55"/>
    <w:rsid w:val="00282E98"/>
    <w:rsid w:val="00283039"/>
    <w:rsid w:val="002838D6"/>
    <w:rsid w:val="00284371"/>
    <w:rsid w:val="00284AE9"/>
    <w:rsid w:val="00285592"/>
    <w:rsid w:val="0028797A"/>
    <w:rsid w:val="002915BC"/>
    <w:rsid w:val="002915C8"/>
    <w:rsid w:val="002938D4"/>
    <w:rsid w:val="00294704"/>
    <w:rsid w:val="002953C2"/>
    <w:rsid w:val="00295478"/>
    <w:rsid w:val="00295C34"/>
    <w:rsid w:val="00296C5E"/>
    <w:rsid w:val="00297657"/>
    <w:rsid w:val="00297E75"/>
    <w:rsid w:val="00297E90"/>
    <w:rsid w:val="002A06CC"/>
    <w:rsid w:val="002A0E30"/>
    <w:rsid w:val="002A10B1"/>
    <w:rsid w:val="002A1C98"/>
    <w:rsid w:val="002A21B8"/>
    <w:rsid w:val="002A2227"/>
    <w:rsid w:val="002A27DC"/>
    <w:rsid w:val="002A2E84"/>
    <w:rsid w:val="002A3EE1"/>
    <w:rsid w:val="002A65D6"/>
    <w:rsid w:val="002B045D"/>
    <w:rsid w:val="002B10E4"/>
    <w:rsid w:val="002B225B"/>
    <w:rsid w:val="002B3286"/>
    <w:rsid w:val="002B422E"/>
    <w:rsid w:val="002B544D"/>
    <w:rsid w:val="002B7265"/>
    <w:rsid w:val="002C1A73"/>
    <w:rsid w:val="002C1F1B"/>
    <w:rsid w:val="002C3FD4"/>
    <w:rsid w:val="002C5498"/>
    <w:rsid w:val="002C594F"/>
    <w:rsid w:val="002C5D96"/>
    <w:rsid w:val="002C6FE3"/>
    <w:rsid w:val="002C789C"/>
    <w:rsid w:val="002D0C4A"/>
    <w:rsid w:val="002D1A2D"/>
    <w:rsid w:val="002D4C0F"/>
    <w:rsid w:val="002D5F69"/>
    <w:rsid w:val="002D6A5A"/>
    <w:rsid w:val="002D6E24"/>
    <w:rsid w:val="002D70C6"/>
    <w:rsid w:val="002E2A19"/>
    <w:rsid w:val="002E3A9D"/>
    <w:rsid w:val="002E3EC7"/>
    <w:rsid w:val="002E4466"/>
    <w:rsid w:val="002E534E"/>
    <w:rsid w:val="002E558F"/>
    <w:rsid w:val="002E62A6"/>
    <w:rsid w:val="002F128F"/>
    <w:rsid w:val="002F12F7"/>
    <w:rsid w:val="002F429D"/>
    <w:rsid w:val="002F630A"/>
    <w:rsid w:val="002F687B"/>
    <w:rsid w:val="002F7C11"/>
    <w:rsid w:val="002F7C9D"/>
    <w:rsid w:val="0030034D"/>
    <w:rsid w:val="00300F0B"/>
    <w:rsid w:val="003020E9"/>
    <w:rsid w:val="003030FC"/>
    <w:rsid w:val="00304278"/>
    <w:rsid w:val="00307C90"/>
    <w:rsid w:val="00310D53"/>
    <w:rsid w:val="00310F30"/>
    <w:rsid w:val="00311570"/>
    <w:rsid w:val="00312E91"/>
    <w:rsid w:val="00313177"/>
    <w:rsid w:val="003133C0"/>
    <w:rsid w:val="00313554"/>
    <w:rsid w:val="00313ED9"/>
    <w:rsid w:val="00315324"/>
    <w:rsid w:val="00315C56"/>
    <w:rsid w:val="00316504"/>
    <w:rsid w:val="00316772"/>
    <w:rsid w:val="00316A45"/>
    <w:rsid w:val="00320515"/>
    <w:rsid w:val="00320C23"/>
    <w:rsid w:val="00322B09"/>
    <w:rsid w:val="00324FA6"/>
    <w:rsid w:val="003254B0"/>
    <w:rsid w:val="00325E6E"/>
    <w:rsid w:val="003264CF"/>
    <w:rsid w:val="00326632"/>
    <w:rsid w:val="003303BC"/>
    <w:rsid w:val="003306A4"/>
    <w:rsid w:val="00330DF4"/>
    <w:rsid w:val="0033362F"/>
    <w:rsid w:val="00333C05"/>
    <w:rsid w:val="00333DCD"/>
    <w:rsid w:val="003340DA"/>
    <w:rsid w:val="003348FE"/>
    <w:rsid w:val="00334C1B"/>
    <w:rsid w:val="0033532B"/>
    <w:rsid w:val="00335C98"/>
    <w:rsid w:val="00336E73"/>
    <w:rsid w:val="003401E0"/>
    <w:rsid w:val="0034122D"/>
    <w:rsid w:val="003417F1"/>
    <w:rsid w:val="00342041"/>
    <w:rsid w:val="00343AAB"/>
    <w:rsid w:val="003453ED"/>
    <w:rsid w:val="0034541D"/>
    <w:rsid w:val="00346C71"/>
    <w:rsid w:val="0034708A"/>
    <w:rsid w:val="003475FB"/>
    <w:rsid w:val="00350761"/>
    <w:rsid w:val="00351933"/>
    <w:rsid w:val="00352610"/>
    <w:rsid w:val="00352815"/>
    <w:rsid w:val="0035513F"/>
    <w:rsid w:val="00355659"/>
    <w:rsid w:val="00356040"/>
    <w:rsid w:val="003567A1"/>
    <w:rsid w:val="00356CD8"/>
    <w:rsid w:val="00357BE0"/>
    <w:rsid w:val="003607F3"/>
    <w:rsid w:val="00361C34"/>
    <w:rsid w:val="00362594"/>
    <w:rsid w:val="00362AC5"/>
    <w:rsid w:val="00362B73"/>
    <w:rsid w:val="00366271"/>
    <w:rsid w:val="003664C6"/>
    <w:rsid w:val="00366D29"/>
    <w:rsid w:val="00367C92"/>
    <w:rsid w:val="00370FBC"/>
    <w:rsid w:val="00371CA1"/>
    <w:rsid w:val="00372172"/>
    <w:rsid w:val="003722B0"/>
    <w:rsid w:val="00372E8B"/>
    <w:rsid w:val="003740C6"/>
    <w:rsid w:val="0037509F"/>
    <w:rsid w:val="0037518D"/>
    <w:rsid w:val="0037599B"/>
    <w:rsid w:val="003766C1"/>
    <w:rsid w:val="00376BEE"/>
    <w:rsid w:val="00380773"/>
    <w:rsid w:val="00380F4A"/>
    <w:rsid w:val="00381668"/>
    <w:rsid w:val="00382A78"/>
    <w:rsid w:val="003831CC"/>
    <w:rsid w:val="00383239"/>
    <w:rsid w:val="00383D55"/>
    <w:rsid w:val="003854D2"/>
    <w:rsid w:val="00391FE1"/>
    <w:rsid w:val="003928BA"/>
    <w:rsid w:val="003A0099"/>
    <w:rsid w:val="003A158A"/>
    <w:rsid w:val="003A34C7"/>
    <w:rsid w:val="003A4BF9"/>
    <w:rsid w:val="003A4F99"/>
    <w:rsid w:val="003A7D10"/>
    <w:rsid w:val="003B03A6"/>
    <w:rsid w:val="003B0722"/>
    <w:rsid w:val="003B1000"/>
    <w:rsid w:val="003B15FF"/>
    <w:rsid w:val="003B31C0"/>
    <w:rsid w:val="003B616C"/>
    <w:rsid w:val="003B7766"/>
    <w:rsid w:val="003B7BD2"/>
    <w:rsid w:val="003C016F"/>
    <w:rsid w:val="003C088F"/>
    <w:rsid w:val="003C0C10"/>
    <w:rsid w:val="003C12D1"/>
    <w:rsid w:val="003C13F9"/>
    <w:rsid w:val="003C4007"/>
    <w:rsid w:val="003C42E4"/>
    <w:rsid w:val="003C50A9"/>
    <w:rsid w:val="003C5D3D"/>
    <w:rsid w:val="003D0989"/>
    <w:rsid w:val="003D0B9E"/>
    <w:rsid w:val="003D3109"/>
    <w:rsid w:val="003D3628"/>
    <w:rsid w:val="003D4906"/>
    <w:rsid w:val="003D4D67"/>
    <w:rsid w:val="003D5A37"/>
    <w:rsid w:val="003E21B8"/>
    <w:rsid w:val="003E2813"/>
    <w:rsid w:val="003E4365"/>
    <w:rsid w:val="003E65C1"/>
    <w:rsid w:val="003E71DE"/>
    <w:rsid w:val="003E7902"/>
    <w:rsid w:val="003F07D1"/>
    <w:rsid w:val="003F2905"/>
    <w:rsid w:val="003F3126"/>
    <w:rsid w:val="003F3D01"/>
    <w:rsid w:val="003F4E11"/>
    <w:rsid w:val="003F79BA"/>
    <w:rsid w:val="00400681"/>
    <w:rsid w:val="0040092C"/>
    <w:rsid w:val="00400D01"/>
    <w:rsid w:val="004027F5"/>
    <w:rsid w:val="00403E55"/>
    <w:rsid w:val="00404F28"/>
    <w:rsid w:val="004051F7"/>
    <w:rsid w:val="00405B11"/>
    <w:rsid w:val="00406134"/>
    <w:rsid w:val="00406620"/>
    <w:rsid w:val="00406DA7"/>
    <w:rsid w:val="00406FFD"/>
    <w:rsid w:val="0041175E"/>
    <w:rsid w:val="004121FB"/>
    <w:rsid w:val="0041305C"/>
    <w:rsid w:val="004138B0"/>
    <w:rsid w:val="0041456F"/>
    <w:rsid w:val="00415856"/>
    <w:rsid w:val="004158E9"/>
    <w:rsid w:val="004175B2"/>
    <w:rsid w:val="0041794C"/>
    <w:rsid w:val="004202C0"/>
    <w:rsid w:val="0042178C"/>
    <w:rsid w:val="00421A43"/>
    <w:rsid w:val="00424A56"/>
    <w:rsid w:val="0042514F"/>
    <w:rsid w:val="00426253"/>
    <w:rsid w:val="0043048C"/>
    <w:rsid w:val="00430CCA"/>
    <w:rsid w:val="00431469"/>
    <w:rsid w:val="0043256B"/>
    <w:rsid w:val="004337C5"/>
    <w:rsid w:val="00433DE0"/>
    <w:rsid w:val="00434D05"/>
    <w:rsid w:val="00435261"/>
    <w:rsid w:val="00435331"/>
    <w:rsid w:val="004359C0"/>
    <w:rsid w:val="00435AF5"/>
    <w:rsid w:val="00437F48"/>
    <w:rsid w:val="00440558"/>
    <w:rsid w:val="004410D0"/>
    <w:rsid w:val="00441FAB"/>
    <w:rsid w:val="004430D9"/>
    <w:rsid w:val="004430FD"/>
    <w:rsid w:val="0044403D"/>
    <w:rsid w:val="00444E60"/>
    <w:rsid w:val="0044505F"/>
    <w:rsid w:val="00445A30"/>
    <w:rsid w:val="00445FB5"/>
    <w:rsid w:val="00446A16"/>
    <w:rsid w:val="00446C3F"/>
    <w:rsid w:val="004479AD"/>
    <w:rsid w:val="00450919"/>
    <w:rsid w:val="00451309"/>
    <w:rsid w:val="00451AA1"/>
    <w:rsid w:val="00452EE5"/>
    <w:rsid w:val="00453BEF"/>
    <w:rsid w:val="0045417E"/>
    <w:rsid w:val="00454E23"/>
    <w:rsid w:val="004556C3"/>
    <w:rsid w:val="0045697B"/>
    <w:rsid w:val="004570A9"/>
    <w:rsid w:val="00460EFB"/>
    <w:rsid w:val="00462296"/>
    <w:rsid w:val="00462FFE"/>
    <w:rsid w:val="00463000"/>
    <w:rsid w:val="004635FA"/>
    <w:rsid w:val="00465EBB"/>
    <w:rsid w:val="00466039"/>
    <w:rsid w:val="0046614D"/>
    <w:rsid w:val="00467644"/>
    <w:rsid w:val="0047063B"/>
    <w:rsid w:val="00471784"/>
    <w:rsid w:val="004728F4"/>
    <w:rsid w:val="004746CD"/>
    <w:rsid w:val="004762E9"/>
    <w:rsid w:val="00476504"/>
    <w:rsid w:val="004775A2"/>
    <w:rsid w:val="00477F03"/>
    <w:rsid w:val="00481233"/>
    <w:rsid w:val="0048128D"/>
    <w:rsid w:val="004830E1"/>
    <w:rsid w:val="00483CEA"/>
    <w:rsid w:val="004850DB"/>
    <w:rsid w:val="00486B1E"/>
    <w:rsid w:val="00487580"/>
    <w:rsid w:val="00487A2F"/>
    <w:rsid w:val="004920FF"/>
    <w:rsid w:val="00494F49"/>
    <w:rsid w:val="0049557E"/>
    <w:rsid w:val="004959F0"/>
    <w:rsid w:val="0049777B"/>
    <w:rsid w:val="00497C46"/>
    <w:rsid w:val="004A0229"/>
    <w:rsid w:val="004A03C6"/>
    <w:rsid w:val="004A0929"/>
    <w:rsid w:val="004A259C"/>
    <w:rsid w:val="004A3808"/>
    <w:rsid w:val="004A3E83"/>
    <w:rsid w:val="004A4761"/>
    <w:rsid w:val="004A5F82"/>
    <w:rsid w:val="004A639C"/>
    <w:rsid w:val="004A6961"/>
    <w:rsid w:val="004A75AB"/>
    <w:rsid w:val="004A7C4C"/>
    <w:rsid w:val="004A7F75"/>
    <w:rsid w:val="004B03CE"/>
    <w:rsid w:val="004B136E"/>
    <w:rsid w:val="004B145B"/>
    <w:rsid w:val="004B1473"/>
    <w:rsid w:val="004B1858"/>
    <w:rsid w:val="004B27DD"/>
    <w:rsid w:val="004B41BF"/>
    <w:rsid w:val="004B49B4"/>
    <w:rsid w:val="004B6553"/>
    <w:rsid w:val="004B6B98"/>
    <w:rsid w:val="004B6BD5"/>
    <w:rsid w:val="004B71D1"/>
    <w:rsid w:val="004C0CB2"/>
    <w:rsid w:val="004C1D5B"/>
    <w:rsid w:val="004C328F"/>
    <w:rsid w:val="004C38A1"/>
    <w:rsid w:val="004C502E"/>
    <w:rsid w:val="004C7696"/>
    <w:rsid w:val="004C7C84"/>
    <w:rsid w:val="004D0AB8"/>
    <w:rsid w:val="004D1367"/>
    <w:rsid w:val="004D4DBC"/>
    <w:rsid w:val="004D5A16"/>
    <w:rsid w:val="004D5DBC"/>
    <w:rsid w:val="004D5FFD"/>
    <w:rsid w:val="004E022D"/>
    <w:rsid w:val="004E1533"/>
    <w:rsid w:val="004E3E19"/>
    <w:rsid w:val="004E4791"/>
    <w:rsid w:val="004E4963"/>
    <w:rsid w:val="004E62C4"/>
    <w:rsid w:val="004E727D"/>
    <w:rsid w:val="004F01AF"/>
    <w:rsid w:val="004F0711"/>
    <w:rsid w:val="004F0E45"/>
    <w:rsid w:val="004F4EF7"/>
    <w:rsid w:val="004F53C3"/>
    <w:rsid w:val="004F7444"/>
    <w:rsid w:val="00500399"/>
    <w:rsid w:val="00500CF3"/>
    <w:rsid w:val="00502FB6"/>
    <w:rsid w:val="005032E0"/>
    <w:rsid w:val="00504B0D"/>
    <w:rsid w:val="00504FC7"/>
    <w:rsid w:val="0050734B"/>
    <w:rsid w:val="00507652"/>
    <w:rsid w:val="00510101"/>
    <w:rsid w:val="0051206A"/>
    <w:rsid w:val="005126E3"/>
    <w:rsid w:val="00512B93"/>
    <w:rsid w:val="005130CB"/>
    <w:rsid w:val="00513F63"/>
    <w:rsid w:val="00517C94"/>
    <w:rsid w:val="00520891"/>
    <w:rsid w:val="005210CB"/>
    <w:rsid w:val="005215BE"/>
    <w:rsid w:val="00521E77"/>
    <w:rsid w:val="00522430"/>
    <w:rsid w:val="00522E76"/>
    <w:rsid w:val="00522EA1"/>
    <w:rsid w:val="00523010"/>
    <w:rsid w:val="005238B9"/>
    <w:rsid w:val="00527704"/>
    <w:rsid w:val="005277AC"/>
    <w:rsid w:val="00527E27"/>
    <w:rsid w:val="00530659"/>
    <w:rsid w:val="00530788"/>
    <w:rsid w:val="0053392F"/>
    <w:rsid w:val="0053452C"/>
    <w:rsid w:val="00540638"/>
    <w:rsid w:val="005408F0"/>
    <w:rsid w:val="00542720"/>
    <w:rsid w:val="005443B1"/>
    <w:rsid w:val="005444D5"/>
    <w:rsid w:val="00544FE9"/>
    <w:rsid w:val="00545830"/>
    <w:rsid w:val="00546EA1"/>
    <w:rsid w:val="0055041D"/>
    <w:rsid w:val="005518E7"/>
    <w:rsid w:val="00551CCA"/>
    <w:rsid w:val="00553B80"/>
    <w:rsid w:val="00554A98"/>
    <w:rsid w:val="00555168"/>
    <w:rsid w:val="00556129"/>
    <w:rsid w:val="00556C43"/>
    <w:rsid w:val="00556ED4"/>
    <w:rsid w:val="005576B7"/>
    <w:rsid w:val="00560071"/>
    <w:rsid w:val="00560A0A"/>
    <w:rsid w:val="00561862"/>
    <w:rsid w:val="0056293B"/>
    <w:rsid w:val="00562E47"/>
    <w:rsid w:val="00564A03"/>
    <w:rsid w:val="00567C88"/>
    <w:rsid w:val="00567FE4"/>
    <w:rsid w:val="005700B4"/>
    <w:rsid w:val="00570E49"/>
    <w:rsid w:val="00570EA0"/>
    <w:rsid w:val="00571812"/>
    <w:rsid w:val="005729E5"/>
    <w:rsid w:val="005748EC"/>
    <w:rsid w:val="005765CA"/>
    <w:rsid w:val="005767F8"/>
    <w:rsid w:val="00576B1C"/>
    <w:rsid w:val="00576BDE"/>
    <w:rsid w:val="005812B8"/>
    <w:rsid w:val="005817CB"/>
    <w:rsid w:val="0058190C"/>
    <w:rsid w:val="00581BAD"/>
    <w:rsid w:val="00582370"/>
    <w:rsid w:val="00586548"/>
    <w:rsid w:val="00586A74"/>
    <w:rsid w:val="00586AB4"/>
    <w:rsid w:val="00586F75"/>
    <w:rsid w:val="00587ECA"/>
    <w:rsid w:val="00587F62"/>
    <w:rsid w:val="00590CCA"/>
    <w:rsid w:val="00591733"/>
    <w:rsid w:val="00591C77"/>
    <w:rsid w:val="0059551D"/>
    <w:rsid w:val="00596E7E"/>
    <w:rsid w:val="005A0D18"/>
    <w:rsid w:val="005A1E9F"/>
    <w:rsid w:val="005A26AD"/>
    <w:rsid w:val="005A2B33"/>
    <w:rsid w:val="005A2D5C"/>
    <w:rsid w:val="005A3828"/>
    <w:rsid w:val="005B0F03"/>
    <w:rsid w:val="005B18FE"/>
    <w:rsid w:val="005B3A69"/>
    <w:rsid w:val="005B42E0"/>
    <w:rsid w:val="005B4C50"/>
    <w:rsid w:val="005B68D6"/>
    <w:rsid w:val="005C04EE"/>
    <w:rsid w:val="005C0A14"/>
    <w:rsid w:val="005C1469"/>
    <w:rsid w:val="005C16C4"/>
    <w:rsid w:val="005C20EE"/>
    <w:rsid w:val="005C4140"/>
    <w:rsid w:val="005C7617"/>
    <w:rsid w:val="005D2414"/>
    <w:rsid w:val="005D2DA7"/>
    <w:rsid w:val="005D6359"/>
    <w:rsid w:val="005D6884"/>
    <w:rsid w:val="005D7DAB"/>
    <w:rsid w:val="005E201A"/>
    <w:rsid w:val="005E406D"/>
    <w:rsid w:val="005E4173"/>
    <w:rsid w:val="005E43C7"/>
    <w:rsid w:val="005E4FC3"/>
    <w:rsid w:val="005E50C7"/>
    <w:rsid w:val="005E52E5"/>
    <w:rsid w:val="005E7911"/>
    <w:rsid w:val="005F1CC3"/>
    <w:rsid w:val="005F21A1"/>
    <w:rsid w:val="005F264C"/>
    <w:rsid w:val="005F3320"/>
    <w:rsid w:val="005F38D1"/>
    <w:rsid w:val="005F5DEB"/>
    <w:rsid w:val="005F77F4"/>
    <w:rsid w:val="0060148B"/>
    <w:rsid w:val="00601808"/>
    <w:rsid w:val="006042C3"/>
    <w:rsid w:val="006044F8"/>
    <w:rsid w:val="00604A2E"/>
    <w:rsid w:val="00604C15"/>
    <w:rsid w:val="00604E7A"/>
    <w:rsid w:val="00606BCA"/>
    <w:rsid w:val="00610434"/>
    <w:rsid w:val="00611881"/>
    <w:rsid w:val="0061225D"/>
    <w:rsid w:val="00615028"/>
    <w:rsid w:val="006152DD"/>
    <w:rsid w:val="00616338"/>
    <w:rsid w:val="0061726D"/>
    <w:rsid w:val="00617319"/>
    <w:rsid w:val="00617785"/>
    <w:rsid w:val="006207CB"/>
    <w:rsid w:val="00620E93"/>
    <w:rsid w:val="006211F7"/>
    <w:rsid w:val="00621EB0"/>
    <w:rsid w:val="006238F9"/>
    <w:rsid w:val="00624EE9"/>
    <w:rsid w:val="0062564D"/>
    <w:rsid w:val="00625753"/>
    <w:rsid w:val="00625CF9"/>
    <w:rsid w:val="0062643E"/>
    <w:rsid w:val="00630998"/>
    <w:rsid w:val="00632851"/>
    <w:rsid w:val="00632B0C"/>
    <w:rsid w:val="00632DC6"/>
    <w:rsid w:val="00635B15"/>
    <w:rsid w:val="00635FDC"/>
    <w:rsid w:val="0063643D"/>
    <w:rsid w:val="0063799A"/>
    <w:rsid w:val="00640184"/>
    <w:rsid w:val="00640900"/>
    <w:rsid w:val="00642200"/>
    <w:rsid w:val="00643D30"/>
    <w:rsid w:val="00644868"/>
    <w:rsid w:val="006462E0"/>
    <w:rsid w:val="006465D8"/>
    <w:rsid w:val="006477A9"/>
    <w:rsid w:val="00650765"/>
    <w:rsid w:val="00651685"/>
    <w:rsid w:val="00651776"/>
    <w:rsid w:val="00651DE4"/>
    <w:rsid w:val="00652D9C"/>
    <w:rsid w:val="00654ADB"/>
    <w:rsid w:val="00655EF0"/>
    <w:rsid w:val="0065602D"/>
    <w:rsid w:val="00656758"/>
    <w:rsid w:val="00657665"/>
    <w:rsid w:val="00660607"/>
    <w:rsid w:val="00660C5D"/>
    <w:rsid w:val="00661E69"/>
    <w:rsid w:val="00662476"/>
    <w:rsid w:val="006639AA"/>
    <w:rsid w:val="00664ECC"/>
    <w:rsid w:val="006654E2"/>
    <w:rsid w:val="00666331"/>
    <w:rsid w:val="00667827"/>
    <w:rsid w:val="006702EA"/>
    <w:rsid w:val="0067030F"/>
    <w:rsid w:val="00670F7B"/>
    <w:rsid w:val="006718C7"/>
    <w:rsid w:val="00671C5E"/>
    <w:rsid w:val="00671E96"/>
    <w:rsid w:val="00672816"/>
    <w:rsid w:val="00675592"/>
    <w:rsid w:val="00675726"/>
    <w:rsid w:val="00675A22"/>
    <w:rsid w:val="00676F95"/>
    <w:rsid w:val="00680523"/>
    <w:rsid w:val="006809A3"/>
    <w:rsid w:val="00680D4F"/>
    <w:rsid w:val="00681043"/>
    <w:rsid w:val="006815C5"/>
    <w:rsid w:val="0068223D"/>
    <w:rsid w:val="00682578"/>
    <w:rsid w:val="00683569"/>
    <w:rsid w:val="006845E8"/>
    <w:rsid w:val="0068472E"/>
    <w:rsid w:val="00685037"/>
    <w:rsid w:val="00685D99"/>
    <w:rsid w:val="0068633F"/>
    <w:rsid w:val="006865BE"/>
    <w:rsid w:val="00686BF4"/>
    <w:rsid w:val="00686E90"/>
    <w:rsid w:val="00687DDB"/>
    <w:rsid w:val="006916AD"/>
    <w:rsid w:val="006922BC"/>
    <w:rsid w:val="00693A36"/>
    <w:rsid w:val="00695E05"/>
    <w:rsid w:val="00696115"/>
    <w:rsid w:val="0069688D"/>
    <w:rsid w:val="006A13BD"/>
    <w:rsid w:val="006A1CD2"/>
    <w:rsid w:val="006A2397"/>
    <w:rsid w:val="006A2931"/>
    <w:rsid w:val="006A2C69"/>
    <w:rsid w:val="006A30A4"/>
    <w:rsid w:val="006A58B7"/>
    <w:rsid w:val="006A63E9"/>
    <w:rsid w:val="006A6541"/>
    <w:rsid w:val="006A68A1"/>
    <w:rsid w:val="006B1140"/>
    <w:rsid w:val="006B1B52"/>
    <w:rsid w:val="006B1BFD"/>
    <w:rsid w:val="006B3254"/>
    <w:rsid w:val="006B37A5"/>
    <w:rsid w:val="006B3938"/>
    <w:rsid w:val="006B4A0A"/>
    <w:rsid w:val="006B4A97"/>
    <w:rsid w:val="006B5BD6"/>
    <w:rsid w:val="006B5C97"/>
    <w:rsid w:val="006B5F6D"/>
    <w:rsid w:val="006B7835"/>
    <w:rsid w:val="006B7EF7"/>
    <w:rsid w:val="006C0AFF"/>
    <w:rsid w:val="006C0EC6"/>
    <w:rsid w:val="006C19DF"/>
    <w:rsid w:val="006C1CBB"/>
    <w:rsid w:val="006C2B77"/>
    <w:rsid w:val="006C3166"/>
    <w:rsid w:val="006C3ED9"/>
    <w:rsid w:val="006C5FC5"/>
    <w:rsid w:val="006C6A34"/>
    <w:rsid w:val="006C7708"/>
    <w:rsid w:val="006D072F"/>
    <w:rsid w:val="006D0CAA"/>
    <w:rsid w:val="006D1489"/>
    <w:rsid w:val="006D24CE"/>
    <w:rsid w:val="006D3E17"/>
    <w:rsid w:val="006D4352"/>
    <w:rsid w:val="006D4AD0"/>
    <w:rsid w:val="006D4EC9"/>
    <w:rsid w:val="006D51CE"/>
    <w:rsid w:val="006D5FBA"/>
    <w:rsid w:val="006D690B"/>
    <w:rsid w:val="006D6BDB"/>
    <w:rsid w:val="006D7805"/>
    <w:rsid w:val="006E050C"/>
    <w:rsid w:val="006E12DC"/>
    <w:rsid w:val="006E1460"/>
    <w:rsid w:val="006E1DA5"/>
    <w:rsid w:val="006E2305"/>
    <w:rsid w:val="006E2478"/>
    <w:rsid w:val="006E519C"/>
    <w:rsid w:val="006E5AB7"/>
    <w:rsid w:val="006E5F19"/>
    <w:rsid w:val="006E7446"/>
    <w:rsid w:val="006E7C66"/>
    <w:rsid w:val="006F0429"/>
    <w:rsid w:val="006F14B6"/>
    <w:rsid w:val="006F1866"/>
    <w:rsid w:val="006F1F69"/>
    <w:rsid w:val="006F3CCD"/>
    <w:rsid w:val="006F6B6B"/>
    <w:rsid w:val="006F72E4"/>
    <w:rsid w:val="00700266"/>
    <w:rsid w:val="00700CEC"/>
    <w:rsid w:val="00701001"/>
    <w:rsid w:val="0070124D"/>
    <w:rsid w:val="00701530"/>
    <w:rsid w:val="00702414"/>
    <w:rsid w:val="007053F0"/>
    <w:rsid w:val="0070563D"/>
    <w:rsid w:val="00705867"/>
    <w:rsid w:val="007058FC"/>
    <w:rsid w:val="007059B5"/>
    <w:rsid w:val="00706032"/>
    <w:rsid w:val="007109BF"/>
    <w:rsid w:val="00712024"/>
    <w:rsid w:val="0071256F"/>
    <w:rsid w:val="00712E96"/>
    <w:rsid w:val="007135B2"/>
    <w:rsid w:val="00713887"/>
    <w:rsid w:val="00713EF8"/>
    <w:rsid w:val="007147DA"/>
    <w:rsid w:val="00714A70"/>
    <w:rsid w:val="00715537"/>
    <w:rsid w:val="00716543"/>
    <w:rsid w:val="00716950"/>
    <w:rsid w:val="007208F9"/>
    <w:rsid w:val="00722162"/>
    <w:rsid w:val="00722A39"/>
    <w:rsid w:val="00723EAD"/>
    <w:rsid w:val="00724D68"/>
    <w:rsid w:val="0072580A"/>
    <w:rsid w:val="00725B72"/>
    <w:rsid w:val="00725E9B"/>
    <w:rsid w:val="007263A5"/>
    <w:rsid w:val="00727117"/>
    <w:rsid w:val="00730288"/>
    <w:rsid w:val="00731038"/>
    <w:rsid w:val="0073113D"/>
    <w:rsid w:val="0073201A"/>
    <w:rsid w:val="007320FD"/>
    <w:rsid w:val="00735A87"/>
    <w:rsid w:val="00735DAB"/>
    <w:rsid w:val="007361AB"/>
    <w:rsid w:val="007368E1"/>
    <w:rsid w:val="0074168D"/>
    <w:rsid w:val="0074253B"/>
    <w:rsid w:val="0074279F"/>
    <w:rsid w:val="00742CEE"/>
    <w:rsid w:val="00745110"/>
    <w:rsid w:val="00745785"/>
    <w:rsid w:val="00745B9F"/>
    <w:rsid w:val="00745C2E"/>
    <w:rsid w:val="007464B2"/>
    <w:rsid w:val="00747480"/>
    <w:rsid w:val="007504D5"/>
    <w:rsid w:val="0075111B"/>
    <w:rsid w:val="00751152"/>
    <w:rsid w:val="00751178"/>
    <w:rsid w:val="00753B38"/>
    <w:rsid w:val="00753E51"/>
    <w:rsid w:val="00755078"/>
    <w:rsid w:val="00755109"/>
    <w:rsid w:val="0075633B"/>
    <w:rsid w:val="007568B2"/>
    <w:rsid w:val="00757445"/>
    <w:rsid w:val="007575B8"/>
    <w:rsid w:val="00757649"/>
    <w:rsid w:val="00761CB5"/>
    <w:rsid w:val="00762F8F"/>
    <w:rsid w:val="007636C6"/>
    <w:rsid w:val="00765886"/>
    <w:rsid w:val="007674E2"/>
    <w:rsid w:val="007675F5"/>
    <w:rsid w:val="00770292"/>
    <w:rsid w:val="00772798"/>
    <w:rsid w:val="0077384F"/>
    <w:rsid w:val="00773D6C"/>
    <w:rsid w:val="00774699"/>
    <w:rsid w:val="00776447"/>
    <w:rsid w:val="00776738"/>
    <w:rsid w:val="0077677C"/>
    <w:rsid w:val="007775E4"/>
    <w:rsid w:val="0078070B"/>
    <w:rsid w:val="007807A2"/>
    <w:rsid w:val="007834FF"/>
    <w:rsid w:val="0078382E"/>
    <w:rsid w:val="007841B2"/>
    <w:rsid w:val="007842BC"/>
    <w:rsid w:val="00786B0F"/>
    <w:rsid w:val="00787DB3"/>
    <w:rsid w:val="00787EE0"/>
    <w:rsid w:val="00790CBE"/>
    <w:rsid w:val="00791014"/>
    <w:rsid w:val="007924F0"/>
    <w:rsid w:val="00793E55"/>
    <w:rsid w:val="00794174"/>
    <w:rsid w:val="0079676F"/>
    <w:rsid w:val="00796C08"/>
    <w:rsid w:val="00797BE6"/>
    <w:rsid w:val="007A0019"/>
    <w:rsid w:val="007A0C6C"/>
    <w:rsid w:val="007A3704"/>
    <w:rsid w:val="007A3790"/>
    <w:rsid w:val="007A40AA"/>
    <w:rsid w:val="007A57BC"/>
    <w:rsid w:val="007A7193"/>
    <w:rsid w:val="007A76FF"/>
    <w:rsid w:val="007A77C0"/>
    <w:rsid w:val="007B08DE"/>
    <w:rsid w:val="007B11F1"/>
    <w:rsid w:val="007B19FE"/>
    <w:rsid w:val="007B26F6"/>
    <w:rsid w:val="007B3533"/>
    <w:rsid w:val="007B3750"/>
    <w:rsid w:val="007B3A9E"/>
    <w:rsid w:val="007B42E8"/>
    <w:rsid w:val="007B51F8"/>
    <w:rsid w:val="007B54AC"/>
    <w:rsid w:val="007B5CC8"/>
    <w:rsid w:val="007B6E85"/>
    <w:rsid w:val="007B75F5"/>
    <w:rsid w:val="007C07BB"/>
    <w:rsid w:val="007C284C"/>
    <w:rsid w:val="007C34B6"/>
    <w:rsid w:val="007C5381"/>
    <w:rsid w:val="007C5575"/>
    <w:rsid w:val="007C649F"/>
    <w:rsid w:val="007C6991"/>
    <w:rsid w:val="007D0B00"/>
    <w:rsid w:val="007D10BF"/>
    <w:rsid w:val="007D15E4"/>
    <w:rsid w:val="007D19BD"/>
    <w:rsid w:val="007D26FB"/>
    <w:rsid w:val="007D2959"/>
    <w:rsid w:val="007D3393"/>
    <w:rsid w:val="007D3A90"/>
    <w:rsid w:val="007D46B1"/>
    <w:rsid w:val="007D5B1F"/>
    <w:rsid w:val="007D7B62"/>
    <w:rsid w:val="007E0084"/>
    <w:rsid w:val="007E0BF7"/>
    <w:rsid w:val="007E2531"/>
    <w:rsid w:val="007E334E"/>
    <w:rsid w:val="007E388B"/>
    <w:rsid w:val="007E39AE"/>
    <w:rsid w:val="007E4497"/>
    <w:rsid w:val="007E5B0D"/>
    <w:rsid w:val="007E5D1F"/>
    <w:rsid w:val="007E6AA0"/>
    <w:rsid w:val="007E6CF4"/>
    <w:rsid w:val="007E73A3"/>
    <w:rsid w:val="007E7D7F"/>
    <w:rsid w:val="007F1320"/>
    <w:rsid w:val="007F59EA"/>
    <w:rsid w:val="00800A7F"/>
    <w:rsid w:val="00800BF7"/>
    <w:rsid w:val="00800CF7"/>
    <w:rsid w:val="00801835"/>
    <w:rsid w:val="008018C4"/>
    <w:rsid w:val="00801A6B"/>
    <w:rsid w:val="00801F2A"/>
    <w:rsid w:val="0080250A"/>
    <w:rsid w:val="00803E5C"/>
    <w:rsid w:val="0080413D"/>
    <w:rsid w:val="008041EC"/>
    <w:rsid w:val="00805492"/>
    <w:rsid w:val="00805EDA"/>
    <w:rsid w:val="008067C3"/>
    <w:rsid w:val="00806E9C"/>
    <w:rsid w:val="00810B60"/>
    <w:rsid w:val="00810D58"/>
    <w:rsid w:val="00811B9E"/>
    <w:rsid w:val="00812039"/>
    <w:rsid w:val="00814108"/>
    <w:rsid w:val="008142F7"/>
    <w:rsid w:val="008168BF"/>
    <w:rsid w:val="0082146E"/>
    <w:rsid w:val="008217D9"/>
    <w:rsid w:val="00822675"/>
    <w:rsid w:val="00822AD5"/>
    <w:rsid w:val="008241F7"/>
    <w:rsid w:val="00824726"/>
    <w:rsid w:val="0082511A"/>
    <w:rsid w:val="00825D51"/>
    <w:rsid w:val="00827279"/>
    <w:rsid w:val="00827613"/>
    <w:rsid w:val="00830C7E"/>
    <w:rsid w:val="00830EBB"/>
    <w:rsid w:val="00831ACC"/>
    <w:rsid w:val="00831D44"/>
    <w:rsid w:val="00832533"/>
    <w:rsid w:val="00833E04"/>
    <w:rsid w:val="00833F3E"/>
    <w:rsid w:val="0083424F"/>
    <w:rsid w:val="008350D7"/>
    <w:rsid w:val="0083658D"/>
    <w:rsid w:val="00837CC0"/>
    <w:rsid w:val="00837DA7"/>
    <w:rsid w:val="008411C6"/>
    <w:rsid w:val="00841AB6"/>
    <w:rsid w:val="008427B3"/>
    <w:rsid w:val="00842ABA"/>
    <w:rsid w:val="008439F7"/>
    <w:rsid w:val="008446FB"/>
    <w:rsid w:val="008459B9"/>
    <w:rsid w:val="00846396"/>
    <w:rsid w:val="00847A37"/>
    <w:rsid w:val="0085065E"/>
    <w:rsid w:val="00853C64"/>
    <w:rsid w:val="0085428B"/>
    <w:rsid w:val="00854E05"/>
    <w:rsid w:val="008550C7"/>
    <w:rsid w:val="00855334"/>
    <w:rsid w:val="0085695C"/>
    <w:rsid w:val="008570DB"/>
    <w:rsid w:val="00857413"/>
    <w:rsid w:val="00857913"/>
    <w:rsid w:val="00857EAB"/>
    <w:rsid w:val="00860024"/>
    <w:rsid w:val="00860A4B"/>
    <w:rsid w:val="00861A8D"/>
    <w:rsid w:val="0086221C"/>
    <w:rsid w:val="0086253A"/>
    <w:rsid w:val="00865D37"/>
    <w:rsid w:val="00866732"/>
    <w:rsid w:val="00866CE7"/>
    <w:rsid w:val="00867392"/>
    <w:rsid w:val="00870DD2"/>
    <w:rsid w:val="00870EDF"/>
    <w:rsid w:val="00873361"/>
    <w:rsid w:val="008734FB"/>
    <w:rsid w:val="00873F15"/>
    <w:rsid w:val="00873FB9"/>
    <w:rsid w:val="00874836"/>
    <w:rsid w:val="00875717"/>
    <w:rsid w:val="0087693D"/>
    <w:rsid w:val="008779F9"/>
    <w:rsid w:val="00880242"/>
    <w:rsid w:val="00881271"/>
    <w:rsid w:val="00882469"/>
    <w:rsid w:val="00882B96"/>
    <w:rsid w:val="00883170"/>
    <w:rsid w:val="00884A0C"/>
    <w:rsid w:val="00884B94"/>
    <w:rsid w:val="00885445"/>
    <w:rsid w:val="00885A39"/>
    <w:rsid w:val="00885BFB"/>
    <w:rsid w:val="008874ED"/>
    <w:rsid w:val="008900B2"/>
    <w:rsid w:val="0089458D"/>
    <w:rsid w:val="00894DC3"/>
    <w:rsid w:val="00895CC5"/>
    <w:rsid w:val="008962E0"/>
    <w:rsid w:val="00896DBA"/>
    <w:rsid w:val="008973C3"/>
    <w:rsid w:val="0089741A"/>
    <w:rsid w:val="008A1F5C"/>
    <w:rsid w:val="008A2CD5"/>
    <w:rsid w:val="008A3396"/>
    <w:rsid w:val="008A3D86"/>
    <w:rsid w:val="008A6489"/>
    <w:rsid w:val="008A6943"/>
    <w:rsid w:val="008A6AF0"/>
    <w:rsid w:val="008A6D60"/>
    <w:rsid w:val="008A6F42"/>
    <w:rsid w:val="008B115D"/>
    <w:rsid w:val="008B1AC6"/>
    <w:rsid w:val="008B1E47"/>
    <w:rsid w:val="008B1E89"/>
    <w:rsid w:val="008B4CC2"/>
    <w:rsid w:val="008B550B"/>
    <w:rsid w:val="008B5732"/>
    <w:rsid w:val="008B5C6C"/>
    <w:rsid w:val="008C0434"/>
    <w:rsid w:val="008C0B68"/>
    <w:rsid w:val="008C0D9F"/>
    <w:rsid w:val="008C1262"/>
    <w:rsid w:val="008C2622"/>
    <w:rsid w:val="008C2A27"/>
    <w:rsid w:val="008C3964"/>
    <w:rsid w:val="008C583E"/>
    <w:rsid w:val="008C5975"/>
    <w:rsid w:val="008C6AA3"/>
    <w:rsid w:val="008C7FFE"/>
    <w:rsid w:val="008D248E"/>
    <w:rsid w:val="008D2904"/>
    <w:rsid w:val="008D2C45"/>
    <w:rsid w:val="008D3A88"/>
    <w:rsid w:val="008D3FD9"/>
    <w:rsid w:val="008D41D8"/>
    <w:rsid w:val="008D5A64"/>
    <w:rsid w:val="008D6FCB"/>
    <w:rsid w:val="008E025A"/>
    <w:rsid w:val="008E2568"/>
    <w:rsid w:val="008E2F00"/>
    <w:rsid w:val="008E3393"/>
    <w:rsid w:val="008E7A42"/>
    <w:rsid w:val="008F0F17"/>
    <w:rsid w:val="008F129B"/>
    <w:rsid w:val="008F1325"/>
    <w:rsid w:val="008F2D0C"/>
    <w:rsid w:val="008F3B0A"/>
    <w:rsid w:val="008F3B74"/>
    <w:rsid w:val="008F4330"/>
    <w:rsid w:val="008F5D6A"/>
    <w:rsid w:val="008F5E26"/>
    <w:rsid w:val="008F5F0C"/>
    <w:rsid w:val="008F6034"/>
    <w:rsid w:val="008F7DA7"/>
    <w:rsid w:val="008F7F8C"/>
    <w:rsid w:val="00901607"/>
    <w:rsid w:val="00902A31"/>
    <w:rsid w:val="00902B94"/>
    <w:rsid w:val="0090306B"/>
    <w:rsid w:val="0090360E"/>
    <w:rsid w:val="00904C64"/>
    <w:rsid w:val="00904FA8"/>
    <w:rsid w:val="009050BA"/>
    <w:rsid w:val="00907809"/>
    <w:rsid w:val="00907C28"/>
    <w:rsid w:val="00910677"/>
    <w:rsid w:val="00910784"/>
    <w:rsid w:val="00910DD0"/>
    <w:rsid w:val="00911CC9"/>
    <w:rsid w:val="00912CD9"/>
    <w:rsid w:val="0091308E"/>
    <w:rsid w:val="009139E8"/>
    <w:rsid w:val="00914590"/>
    <w:rsid w:val="0091495E"/>
    <w:rsid w:val="00915FB8"/>
    <w:rsid w:val="009165BB"/>
    <w:rsid w:val="00916897"/>
    <w:rsid w:val="0091789E"/>
    <w:rsid w:val="00917EDA"/>
    <w:rsid w:val="0092005D"/>
    <w:rsid w:val="00920D13"/>
    <w:rsid w:val="00921A39"/>
    <w:rsid w:val="00921B63"/>
    <w:rsid w:val="00922F29"/>
    <w:rsid w:val="009230F1"/>
    <w:rsid w:val="0092380F"/>
    <w:rsid w:val="00923CDF"/>
    <w:rsid w:val="00924BE0"/>
    <w:rsid w:val="009255C4"/>
    <w:rsid w:val="00925BC8"/>
    <w:rsid w:val="009262FF"/>
    <w:rsid w:val="00927895"/>
    <w:rsid w:val="0092793B"/>
    <w:rsid w:val="00927B6C"/>
    <w:rsid w:val="00930312"/>
    <w:rsid w:val="009313E2"/>
    <w:rsid w:val="00933139"/>
    <w:rsid w:val="009340AE"/>
    <w:rsid w:val="009341B9"/>
    <w:rsid w:val="0093472F"/>
    <w:rsid w:val="00934C84"/>
    <w:rsid w:val="00934E21"/>
    <w:rsid w:val="00935120"/>
    <w:rsid w:val="00935C83"/>
    <w:rsid w:val="00935E88"/>
    <w:rsid w:val="009373D6"/>
    <w:rsid w:val="009376A3"/>
    <w:rsid w:val="00941700"/>
    <w:rsid w:val="00941919"/>
    <w:rsid w:val="00941BA6"/>
    <w:rsid w:val="00941CF8"/>
    <w:rsid w:val="00942ACA"/>
    <w:rsid w:val="00942AFF"/>
    <w:rsid w:val="009433EF"/>
    <w:rsid w:val="0094343B"/>
    <w:rsid w:val="00945611"/>
    <w:rsid w:val="00945DE8"/>
    <w:rsid w:val="00945F98"/>
    <w:rsid w:val="009465ED"/>
    <w:rsid w:val="00946C53"/>
    <w:rsid w:val="009475B4"/>
    <w:rsid w:val="0094781F"/>
    <w:rsid w:val="00950E05"/>
    <w:rsid w:val="00950F15"/>
    <w:rsid w:val="0095141C"/>
    <w:rsid w:val="009528AE"/>
    <w:rsid w:val="009528B4"/>
    <w:rsid w:val="00953127"/>
    <w:rsid w:val="009541F1"/>
    <w:rsid w:val="0095464E"/>
    <w:rsid w:val="00956B00"/>
    <w:rsid w:val="00957237"/>
    <w:rsid w:val="00957895"/>
    <w:rsid w:val="00957A64"/>
    <w:rsid w:val="009603D2"/>
    <w:rsid w:val="00961D58"/>
    <w:rsid w:val="00962199"/>
    <w:rsid w:val="00962275"/>
    <w:rsid w:val="00962657"/>
    <w:rsid w:val="0096343E"/>
    <w:rsid w:val="00963D6E"/>
    <w:rsid w:val="009640A0"/>
    <w:rsid w:val="0096559A"/>
    <w:rsid w:val="00966C43"/>
    <w:rsid w:val="0096716A"/>
    <w:rsid w:val="00967747"/>
    <w:rsid w:val="009709D6"/>
    <w:rsid w:val="0097177D"/>
    <w:rsid w:val="009719A5"/>
    <w:rsid w:val="00973FF9"/>
    <w:rsid w:val="009812B8"/>
    <w:rsid w:val="009819EB"/>
    <w:rsid w:val="00981B14"/>
    <w:rsid w:val="009827FD"/>
    <w:rsid w:val="009830E5"/>
    <w:rsid w:val="00984151"/>
    <w:rsid w:val="009851D3"/>
    <w:rsid w:val="0098601D"/>
    <w:rsid w:val="00991A0A"/>
    <w:rsid w:val="009939BE"/>
    <w:rsid w:val="00995DB9"/>
    <w:rsid w:val="009968B3"/>
    <w:rsid w:val="00997D13"/>
    <w:rsid w:val="009A2CCE"/>
    <w:rsid w:val="009A2F27"/>
    <w:rsid w:val="009A309B"/>
    <w:rsid w:val="009A3133"/>
    <w:rsid w:val="009A4832"/>
    <w:rsid w:val="009A50B7"/>
    <w:rsid w:val="009A6D91"/>
    <w:rsid w:val="009A7B75"/>
    <w:rsid w:val="009B2E3C"/>
    <w:rsid w:val="009B38A7"/>
    <w:rsid w:val="009B4E37"/>
    <w:rsid w:val="009B5102"/>
    <w:rsid w:val="009B677A"/>
    <w:rsid w:val="009C08DE"/>
    <w:rsid w:val="009C09D8"/>
    <w:rsid w:val="009C0BBF"/>
    <w:rsid w:val="009C1516"/>
    <w:rsid w:val="009C2832"/>
    <w:rsid w:val="009C32CC"/>
    <w:rsid w:val="009C3EEB"/>
    <w:rsid w:val="009C497F"/>
    <w:rsid w:val="009C563E"/>
    <w:rsid w:val="009C6952"/>
    <w:rsid w:val="009C7442"/>
    <w:rsid w:val="009C789A"/>
    <w:rsid w:val="009D191B"/>
    <w:rsid w:val="009D1A22"/>
    <w:rsid w:val="009D1CA0"/>
    <w:rsid w:val="009D1ED4"/>
    <w:rsid w:val="009D26E1"/>
    <w:rsid w:val="009D451C"/>
    <w:rsid w:val="009D452A"/>
    <w:rsid w:val="009D55FC"/>
    <w:rsid w:val="009D5E17"/>
    <w:rsid w:val="009D6E33"/>
    <w:rsid w:val="009D7990"/>
    <w:rsid w:val="009D79CA"/>
    <w:rsid w:val="009E207A"/>
    <w:rsid w:val="009E299C"/>
    <w:rsid w:val="009E3A69"/>
    <w:rsid w:val="009E3A9A"/>
    <w:rsid w:val="009E5DA7"/>
    <w:rsid w:val="009E60BD"/>
    <w:rsid w:val="009E7AB9"/>
    <w:rsid w:val="009E7B9B"/>
    <w:rsid w:val="009F0F44"/>
    <w:rsid w:val="009F2CFA"/>
    <w:rsid w:val="009F61FE"/>
    <w:rsid w:val="009F64C4"/>
    <w:rsid w:val="009F7957"/>
    <w:rsid w:val="00A00F70"/>
    <w:rsid w:val="00A02BAE"/>
    <w:rsid w:val="00A03B8B"/>
    <w:rsid w:val="00A03BA6"/>
    <w:rsid w:val="00A04D46"/>
    <w:rsid w:val="00A056A4"/>
    <w:rsid w:val="00A06055"/>
    <w:rsid w:val="00A0656E"/>
    <w:rsid w:val="00A06F19"/>
    <w:rsid w:val="00A071D1"/>
    <w:rsid w:val="00A10D4B"/>
    <w:rsid w:val="00A13881"/>
    <w:rsid w:val="00A13CD4"/>
    <w:rsid w:val="00A141BA"/>
    <w:rsid w:val="00A1495B"/>
    <w:rsid w:val="00A15757"/>
    <w:rsid w:val="00A16622"/>
    <w:rsid w:val="00A166EA"/>
    <w:rsid w:val="00A172CF"/>
    <w:rsid w:val="00A21FE5"/>
    <w:rsid w:val="00A22680"/>
    <w:rsid w:val="00A234DD"/>
    <w:rsid w:val="00A23513"/>
    <w:rsid w:val="00A23856"/>
    <w:rsid w:val="00A24718"/>
    <w:rsid w:val="00A2497D"/>
    <w:rsid w:val="00A256D9"/>
    <w:rsid w:val="00A260FE"/>
    <w:rsid w:val="00A273B8"/>
    <w:rsid w:val="00A27A9C"/>
    <w:rsid w:val="00A3007B"/>
    <w:rsid w:val="00A30205"/>
    <w:rsid w:val="00A33190"/>
    <w:rsid w:val="00A33BE0"/>
    <w:rsid w:val="00A33ED1"/>
    <w:rsid w:val="00A34400"/>
    <w:rsid w:val="00A352B8"/>
    <w:rsid w:val="00A36D1F"/>
    <w:rsid w:val="00A37495"/>
    <w:rsid w:val="00A40783"/>
    <w:rsid w:val="00A40C22"/>
    <w:rsid w:val="00A40CE0"/>
    <w:rsid w:val="00A41011"/>
    <w:rsid w:val="00A41D1A"/>
    <w:rsid w:val="00A42CF5"/>
    <w:rsid w:val="00A442B1"/>
    <w:rsid w:val="00A44B8F"/>
    <w:rsid w:val="00A46212"/>
    <w:rsid w:val="00A47251"/>
    <w:rsid w:val="00A51098"/>
    <w:rsid w:val="00A531B9"/>
    <w:rsid w:val="00A54BB9"/>
    <w:rsid w:val="00A54CF9"/>
    <w:rsid w:val="00A5564B"/>
    <w:rsid w:val="00A61230"/>
    <w:rsid w:val="00A614E8"/>
    <w:rsid w:val="00A6183E"/>
    <w:rsid w:val="00A64E61"/>
    <w:rsid w:val="00A65701"/>
    <w:rsid w:val="00A665A3"/>
    <w:rsid w:val="00A66873"/>
    <w:rsid w:val="00A67109"/>
    <w:rsid w:val="00A67D2C"/>
    <w:rsid w:val="00A7062E"/>
    <w:rsid w:val="00A70E70"/>
    <w:rsid w:val="00A71B10"/>
    <w:rsid w:val="00A71D04"/>
    <w:rsid w:val="00A71FE5"/>
    <w:rsid w:val="00A72D4A"/>
    <w:rsid w:val="00A732FE"/>
    <w:rsid w:val="00A733C6"/>
    <w:rsid w:val="00A73AF2"/>
    <w:rsid w:val="00A7403A"/>
    <w:rsid w:val="00A745CB"/>
    <w:rsid w:val="00A76011"/>
    <w:rsid w:val="00A767A9"/>
    <w:rsid w:val="00A76F22"/>
    <w:rsid w:val="00A7731D"/>
    <w:rsid w:val="00A819DC"/>
    <w:rsid w:val="00A82FFB"/>
    <w:rsid w:val="00A8447C"/>
    <w:rsid w:val="00A84D99"/>
    <w:rsid w:val="00A84EA9"/>
    <w:rsid w:val="00A8552F"/>
    <w:rsid w:val="00A8681F"/>
    <w:rsid w:val="00A8690E"/>
    <w:rsid w:val="00A8697C"/>
    <w:rsid w:val="00A87106"/>
    <w:rsid w:val="00A911F8"/>
    <w:rsid w:val="00A9130A"/>
    <w:rsid w:val="00A924DA"/>
    <w:rsid w:val="00A93632"/>
    <w:rsid w:val="00A953EA"/>
    <w:rsid w:val="00A959FA"/>
    <w:rsid w:val="00A964F1"/>
    <w:rsid w:val="00A967B5"/>
    <w:rsid w:val="00A97257"/>
    <w:rsid w:val="00AA1F1A"/>
    <w:rsid w:val="00AA1F86"/>
    <w:rsid w:val="00AA4112"/>
    <w:rsid w:val="00AA5C9A"/>
    <w:rsid w:val="00AA66F8"/>
    <w:rsid w:val="00AA6945"/>
    <w:rsid w:val="00AA6DDB"/>
    <w:rsid w:val="00AA7646"/>
    <w:rsid w:val="00AB024F"/>
    <w:rsid w:val="00AB0976"/>
    <w:rsid w:val="00AB0BB7"/>
    <w:rsid w:val="00AB1E1B"/>
    <w:rsid w:val="00AB26D8"/>
    <w:rsid w:val="00AB2CA9"/>
    <w:rsid w:val="00AB3609"/>
    <w:rsid w:val="00AB4113"/>
    <w:rsid w:val="00AB43CC"/>
    <w:rsid w:val="00AB538E"/>
    <w:rsid w:val="00AB61AD"/>
    <w:rsid w:val="00AB7505"/>
    <w:rsid w:val="00AC0B0F"/>
    <w:rsid w:val="00AC0F0A"/>
    <w:rsid w:val="00AC13C9"/>
    <w:rsid w:val="00AC1998"/>
    <w:rsid w:val="00AC1D4D"/>
    <w:rsid w:val="00AC2196"/>
    <w:rsid w:val="00AC26E7"/>
    <w:rsid w:val="00AC3017"/>
    <w:rsid w:val="00AC426C"/>
    <w:rsid w:val="00AC4597"/>
    <w:rsid w:val="00AC728C"/>
    <w:rsid w:val="00AC7896"/>
    <w:rsid w:val="00AD142D"/>
    <w:rsid w:val="00AD14D2"/>
    <w:rsid w:val="00AD346A"/>
    <w:rsid w:val="00AD4C78"/>
    <w:rsid w:val="00AD59F4"/>
    <w:rsid w:val="00AD6424"/>
    <w:rsid w:val="00AD7FFC"/>
    <w:rsid w:val="00AE0B97"/>
    <w:rsid w:val="00AE179D"/>
    <w:rsid w:val="00AE19BC"/>
    <w:rsid w:val="00AE3708"/>
    <w:rsid w:val="00AE5D04"/>
    <w:rsid w:val="00AE711C"/>
    <w:rsid w:val="00AE74E4"/>
    <w:rsid w:val="00AF1FA1"/>
    <w:rsid w:val="00AF226F"/>
    <w:rsid w:val="00AF27DB"/>
    <w:rsid w:val="00AF3328"/>
    <w:rsid w:val="00AF3416"/>
    <w:rsid w:val="00AF3CFB"/>
    <w:rsid w:val="00AF4DBE"/>
    <w:rsid w:val="00AF4F03"/>
    <w:rsid w:val="00AF4FFB"/>
    <w:rsid w:val="00AF50D6"/>
    <w:rsid w:val="00AF562A"/>
    <w:rsid w:val="00AF6539"/>
    <w:rsid w:val="00AF6B1B"/>
    <w:rsid w:val="00AF7A29"/>
    <w:rsid w:val="00B0094F"/>
    <w:rsid w:val="00B00BC8"/>
    <w:rsid w:val="00B02143"/>
    <w:rsid w:val="00B02285"/>
    <w:rsid w:val="00B027E5"/>
    <w:rsid w:val="00B02D0B"/>
    <w:rsid w:val="00B031A0"/>
    <w:rsid w:val="00B044D7"/>
    <w:rsid w:val="00B04B5E"/>
    <w:rsid w:val="00B04F71"/>
    <w:rsid w:val="00B05863"/>
    <w:rsid w:val="00B05B95"/>
    <w:rsid w:val="00B06125"/>
    <w:rsid w:val="00B06870"/>
    <w:rsid w:val="00B0708D"/>
    <w:rsid w:val="00B075FF"/>
    <w:rsid w:val="00B07BF8"/>
    <w:rsid w:val="00B10DD3"/>
    <w:rsid w:val="00B12582"/>
    <w:rsid w:val="00B125A5"/>
    <w:rsid w:val="00B12BC8"/>
    <w:rsid w:val="00B135E2"/>
    <w:rsid w:val="00B14599"/>
    <w:rsid w:val="00B149AA"/>
    <w:rsid w:val="00B14D6B"/>
    <w:rsid w:val="00B154CE"/>
    <w:rsid w:val="00B15C43"/>
    <w:rsid w:val="00B15DB0"/>
    <w:rsid w:val="00B16A1D"/>
    <w:rsid w:val="00B17776"/>
    <w:rsid w:val="00B20C2F"/>
    <w:rsid w:val="00B226EA"/>
    <w:rsid w:val="00B2358E"/>
    <w:rsid w:val="00B24EF6"/>
    <w:rsid w:val="00B26754"/>
    <w:rsid w:val="00B2677F"/>
    <w:rsid w:val="00B26B62"/>
    <w:rsid w:val="00B31DE1"/>
    <w:rsid w:val="00B328C6"/>
    <w:rsid w:val="00B32BD8"/>
    <w:rsid w:val="00B34A83"/>
    <w:rsid w:val="00B34E8A"/>
    <w:rsid w:val="00B35290"/>
    <w:rsid w:val="00B35978"/>
    <w:rsid w:val="00B36CF3"/>
    <w:rsid w:val="00B3793D"/>
    <w:rsid w:val="00B40429"/>
    <w:rsid w:val="00B40967"/>
    <w:rsid w:val="00B4097A"/>
    <w:rsid w:val="00B41317"/>
    <w:rsid w:val="00B41B68"/>
    <w:rsid w:val="00B435AF"/>
    <w:rsid w:val="00B439C7"/>
    <w:rsid w:val="00B4599B"/>
    <w:rsid w:val="00B467DA"/>
    <w:rsid w:val="00B46F22"/>
    <w:rsid w:val="00B4748A"/>
    <w:rsid w:val="00B50832"/>
    <w:rsid w:val="00B50B7C"/>
    <w:rsid w:val="00B50F47"/>
    <w:rsid w:val="00B5260B"/>
    <w:rsid w:val="00B53050"/>
    <w:rsid w:val="00B537C1"/>
    <w:rsid w:val="00B54D51"/>
    <w:rsid w:val="00B601C0"/>
    <w:rsid w:val="00B60D12"/>
    <w:rsid w:val="00B60FB7"/>
    <w:rsid w:val="00B61192"/>
    <w:rsid w:val="00B636EB"/>
    <w:rsid w:val="00B637B4"/>
    <w:rsid w:val="00B653F7"/>
    <w:rsid w:val="00B65FB2"/>
    <w:rsid w:val="00B66D20"/>
    <w:rsid w:val="00B67135"/>
    <w:rsid w:val="00B717CC"/>
    <w:rsid w:val="00B71E88"/>
    <w:rsid w:val="00B725B5"/>
    <w:rsid w:val="00B74ADD"/>
    <w:rsid w:val="00B76054"/>
    <w:rsid w:val="00B76456"/>
    <w:rsid w:val="00B779C7"/>
    <w:rsid w:val="00B77F06"/>
    <w:rsid w:val="00B816BB"/>
    <w:rsid w:val="00B819A2"/>
    <w:rsid w:val="00B81CAD"/>
    <w:rsid w:val="00B82881"/>
    <w:rsid w:val="00B83E8F"/>
    <w:rsid w:val="00B83F1F"/>
    <w:rsid w:val="00B8417E"/>
    <w:rsid w:val="00B84ECB"/>
    <w:rsid w:val="00B86846"/>
    <w:rsid w:val="00B86BC3"/>
    <w:rsid w:val="00B871F7"/>
    <w:rsid w:val="00B87589"/>
    <w:rsid w:val="00B87F9B"/>
    <w:rsid w:val="00B912F3"/>
    <w:rsid w:val="00B93E8C"/>
    <w:rsid w:val="00B94794"/>
    <w:rsid w:val="00B94E99"/>
    <w:rsid w:val="00B952C7"/>
    <w:rsid w:val="00B97870"/>
    <w:rsid w:val="00B97FFC"/>
    <w:rsid w:val="00BA2121"/>
    <w:rsid w:val="00BA2C9E"/>
    <w:rsid w:val="00BA481B"/>
    <w:rsid w:val="00BA4CD4"/>
    <w:rsid w:val="00BA6177"/>
    <w:rsid w:val="00BA65DF"/>
    <w:rsid w:val="00BA69AA"/>
    <w:rsid w:val="00BA6C9C"/>
    <w:rsid w:val="00BA7351"/>
    <w:rsid w:val="00BA796D"/>
    <w:rsid w:val="00BB02FE"/>
    <w:rsid w:val="00BB1C0A"/>
    <w:rsid w:val="00BB1C22"/>
    <w:rsid w:val="00BB2931"/>
    <w:rsid w:val="00BB2B7A"/>
    <w:rsid w:val="00BB3284"/>
    <w:rsid w:val="00BB4AC5"/>
    <w:rsid w:val="00BB5062"/>
    <w:rsid w:val="00BB529A"/>
    <w:rsid w:val="00BC024E"/>
    <w:rsid w:val="00BC07D8"/>
    <w:rsid w:val="00BC1011"/>
    <w:rsid w:val="00BC17AD"/>
    <w:rsid w:val="00BC2DF0"/>
    <w:rsid w:val="00BC2E09"/>
    <w:rsid w:val="00BC2FB5"/>
    <w:rsid w:val="00BC6523"/>
    <w:rsid w:val="00BC6AA8"/>
    <w:rsid w:val="00BD0903"/>
    <w:rsid w:val="00BD14E2"/>
    <w:rsid w:val="00BD1CC2"/>
    <w:rsid w:val="00BD20C7"/>
    <w:rsid w:val="00BD420A"/>
    <w:rsid w:val="00BD473A"/>
    <w:rsid w:val="00BD4D8E"/>
    <w:rsid w:val="00BD59AC"/>
    <w:rsid w:val="00BD59BB"/>
    <w:rsid w:val="00BD5ED5"/>
    <w:rsid w:val="00BD6AF9"/>
    <w:rsid w:val="00BD7038"/>
    <w:rsid w:val="00BD7786"/>
    <w:rsid w:val="00BE1075"/>
    <w:rsid w:val="00BE1418"/>
    <w:rsid w:val="00BE21DF"/>
    <w:rsid w:val="00BE2581"/>
    <w:rsid w:val="00BE3BE8"/>
    <w:rsid w:val="00BE58DC"/>
    <w:rsid w:val="00BE61AF"/>
    <w:rsid w:val="00BF0732"/>
    <w:rsid w:val="00BF0A99"/>
    <w:rsid w:val="00BF0C1B"/>
    <w:rsid w:val="00BF209E"/>
    <w:rsid w:val="00BF2517"/>
    <w:rsid w:val="00BF29FF"/>
    <w:rsid w:val="00BF4E0E"/>
    <w:rsid w:val="00BF5E0D"/>
    <w:rsid w:val="00BF67A2"/>
    <w:rsid w:val="00C00470"/>
    <w:rsid w:val="00C01CB2"/>
    <w:rsid w:val="00C024A7"/>
    <w:rsid w:val="00C02A63"/>
    <w:rsid w:val="00C0433C"/>
    <w:rsid w:val="00C0552F"/>
    <w:rsid w:val="00C0556B"/>
    <w:rsid w:val="00C0634E"/>
    <w:rsid w:val="00C06554"/>
    <w:rsid w:val="00C06C40"/>
    <w:rsid w:val="00C107B9"/>
    <w:rsid w:val="00C129A8"/>
    <w:rsid w:val="00C12B6E"/>
    <w:rsid w:val="00C13BF9"/>
    <w:rsid w:val="00C13FA1"/>
    <w:rsid w:val="00C15DC3"/>
    <w:rsid w:val="00C15F98"/>
    <w:rsid w:val="00C169BE"/>
    <w:rsid w:val="00C21345"/>
    <w:rsid w:val="00C22418"/>
    <w:rsid w:val="00C226BE"/>
    <w:rsid w:val="00C25336"/>
    <w:rsid w:val="00C25A8C"/>
    <w:rsid w:val="00C26044"/>
    <w:rsid w:val="00C264DC"/>
    <w:rsid w:val="00C27928"/>
    <w:rsid w:val="00C3012E"/>
    <w:rsid w:val="00C30672"/>
    <w:rsid w:val="00C30F02"/>
    <w:rsid w:val="00C32417"/>
    <w:rsid w:val="00C34078"/>
    <w:rsid w:val="00C346C2"/>
    <w:rsid w:val="00C35A2E"/>
    <w:rsid w:val="00C35C19"/>
    <w:rsid w:val="00C35D8B"/>
    <w:rsid w:val="00C369B3"/>
    <w:rsid w:val="00C37DDF"/>
    <w:rsid w:val="00C410D4"/>
    <w:rsid w:val="00C41F96"/>
    <w:rsid w:val="00C435EB"/>
    <w:rsid w:val="00C43A99"/>
    <w:rsid w:val="00C43DFB"/>
    <w:rsid w:val="00C448F1"/>
    <w:rsid w:val="00C4505A"/>
    <w:rsid w:val="00C455C6"/>
    <w:rsid w:val="00C475BA"/>
    <w:rsid w:val="00C5004F"/>
    <w:rsid w:val="00C530D0"/>
    <w:rsid w:val="00C54633"/>
    <w:rsid w:val="00C54DAB"/>
    <w:rsid w:val="00C5586F"/>
    <w:rsid w:val="00C56078"/>
    <w:rsid w:val="00C56D75"/>
    <w:rsid w:val="00C57588"/>
    <w:rsid w:val="00C57969"/>
    <w:rsid w:val="00C57B04"/>
    <w:rsid w:val="00C61165"/>
    <w:rsid w:val="00C61382"/>
    <w:rsid w:val="00C61FEC"/>
    <w:rsid w:val="00C63C9C"/>
    <w:rsid w:val="00C641B6"/>
    <w:rsid w:val="00C64581"/>
    <w:rsid w:val="00C654FC"/>
    <w:rsid w:val="00C706FB"/>
    <w:rsid w:val="00C71466"/>
    <w:rsid w:val="00C736F3"/>
    <w:rsid w:val="00C73AF3"/>
    <w:rsid w:val="00C76573"/>
    <w:rsid w:val="00C76755"/>
    <w:rsid w:val="00C76987"/>
    <w:rsid w:val="00C76DAB"/>
    <w:rsid w:val="00C81B86"/>
    <w:rsid w:val="00C81E07"/>
    <w:rsid w:val="00C822AF"/>
    <w:rsid w:val="00C8379E"/>
    <w:rsid w:val="00C83FC2"/>
    <w:rsid w:val="00C8410C"/>
    <w:rsid w:val="00C8448D"/>
    <w:rsid w:val="00C8484D"/>
    <w:rsid w:val="00C84F16"/>
    <w:rsid w:val="00C854E9"/>
    <w:rsid w:val="00C8685A"/>
    <w:rsid w:val="00C87EA0"/>
    <w:rsid w:val="00C90122"/>
    <w:rsid w:val="00C90B76"/>
    <w:rsid w:val="00C912C5"/>
    <w:rsid w:val="00C91713"/>
    <w:rsid w:val="00C919D2"/>
    <w:rsid w:val="00C92609"/>
    <w:rsid w:val="00C93B20"/>
    <w:rsid w:val="00C941C3"/>
    <w:rsid w:val="00C94229"/>
    <w:rsid w:val="00C942EC"/>
    <w:rsid w:val="00C94901"/>
    <w:rsid w:val="00C963B1"/>
    <w:rsid w:val="00C963E7"/>
    <w:rsid w:val="00C96BC8"/>
    <w:rsid w:val="00C96D9E"/>
    <w:rsid w:val="00C97734"/>
    <w:rsid w:val="00CA1938"/>
    <w:rsid w:val="00CA199D"/>
    <w:rsid w:val="00CA2B1F"/>
    <w:rsid w:val="00CA3DCC"/>
    <w:rsid w:val="00CA529A"/>
    <w:rsid w:val="00CA53FF"/>
    <w:rsid w:val="00CA6206"/>
    <w:rsid w:val="00CA66BC"/>
    <w:rsid w:val="00CA6EC6"/>
    <w:rsid w:val="00CA74AE"/>
    <w:rsid w:val="00CB0872"/>
    <w:rsid w:val="00CB2943"/>
    <w:rsid w:val="00CB383E"/>
    <w:rsid w:val="00CB77AC"/>
    <w:rsid w:val="00CC00F6"/>
    <w:rsid w:val="00CC08C3"/>
    <w:rsid w:val="00CC15C0"/>
    <w:rsid w:val="00CC2206"/>
    <w:rsid w:val="00CC22FE"/>
    <w:rsid w:val="00CC269F"/>
    <w:rsid w:val="00CC2C46"/>
    <w:rsid w:val="00CC2CB2"/>
    <w:rsid w:val="00CC3A7E"/>
    <w:rsid w:val="00CC4D89"/>
    <w:rsid w:val="00CC6E9F"/>
    <w:rsid w:val="00CC7544"/>
    <w:rsid w:val="00CD0BFA"/>
    <w:rsid w:val="00CD13BD"/>
    <w:rsid w:val="00CD2847"/>
    <w:rsid w:val="00CD3E9D"/>
    <w:rsid w:val="00CD52DF"/>
    <w:rsid w:val="00CD5318"/>
    <w:rsid w:val="00CD6A1A"/>
    <w:rsid w:val="00CD7049"/>
    <w:rsid w:val="00CD747F"/>
    <w:rsid w:val="00CE12A6"/>
    <w:rsid w:val="00CE136B"/>
    <w:rsid w:val="00CE1938"/>
    <w:rsid w:val="00CE1B41"/>
    <w:rsid w:val="00CE2185"/>
    <w:rsid w:val="00CE4106"/>
    <w:rsid w:val="00CE50F7"/>
    <w:rsid w:val="00CE5918"/>
    <w:rsid w:val="00CE5C15"/>
    <w:rsid w:val="00CE6492"/>
    <w:rsid w:val="00CF2698"/>
    <w:rsid w:val="00CF2B7D"/>
    <w:rsid w:val="00CF3744"/>
    <w:rsid w:val="00CF4665"/>
    <w:rsid w:val="00CF4723"/>
    <w:rsid w:val="00CF47D0"/>
    <w:rsid w:val="00CF5EC5"/>
    <w:rsid w:val="00CF6E2C"/>
    <w:rsid w:val="00D00E37"/>
    <w:rsid w:val="00D0141A"/>
    <w:rsid w:val="00D024A8"/>
    <w:rsid w:val="00D05054"/>
    <w:rsid w:val="00D0534F"/>
    <w:rsid w:val="00D05D43"/>
    <w:rsid w:val="00D07D03"/>
    <w:rsid w:val="00D07E02"/>
    <w:rsid w:val="00D10137"/>
    <w:rsid w:val="00D10FE8"/>
    <w:rsid w:val="00D11A51"/>
    <w:rsid w:val="00D14F52"/>
    <w:rsid w:val="00D15E89"/>
    <w:rsid w:val="00D15FC1"/>
    <w:rsid w:val="00D1691F"/>
    <w:rsid w:val="00D176DD"/>
    <w:rsid w:val="00D17746"/>
    <w:rsid w:val="00D17C2E"/>
    <w:rsid w:val="00D17E75"/>
    <w:rsid w:val="00D215BB"/>
    <w:rsid w:val="00D21761"/>
    <w:rsid w:val="00D21B88"/>
    <w:rsid w:val="00D21EBD"/>
    <w:rsid w:val="00D23DAD"/>
    <w:rsid w:val="00D23F35"/>
    <w:rsid w:val="00D24CB9"/>
    <w:rsid w:val="00D2690B"/>
    <w:rsid w:val="00D27755"/>
    <w:rsid w:val="00D315D9"/>
    <w:rsid w:val="00D3343D"/>
    <w:rsid w:val="00D337D9"/>
    <w:rsid w:val="00D346BC"/>
    <w:rsid w:val="00D34C1F"/>
    <w:rsid w:val="00D34CBD"/>
    <w:rsid w:val="00D350BA"/>
    <w:rsid w:val="00D357BE"/>
    <w:rsid w:val="00D35E70"/>
    <w:rsid w:val="00D37539"/>
    <w:rsid w:val="00D37587"/>
    <w:rsid w:val="00D44295"/>
    <w:rsid w:val="00D44D5B"/>
    <w:rsid w:val="00D45746"/>
    <w:rsid w:val="00D46220"/>
    <w:rsid w:val="00D47C16"/>
    <w:rsid w:val="00D500E2"/>
    <w:rsid w:val="00D514EE"/>
    <w:rsid w:val="00D53C97"/>
    <w:rsid w:val="00D53DD9"/>
    <w:rsid w:val="00D57163"/>
    <w:rsid w:val="00D57C34"/>
    <w:rsid w:val="00D57C5B"/>
    <w:rsid w:val="00D60C1E"/>
    <w:rsid w:val="00D6260B"/>
    <w:rsid w:val="00D63348"/>
    <w:rsid w:val="00D6338A"/>
    <w:rsid w:val="00D63AA9"/>
    <w:rsid w:val="00D64260"/>
    <w:rsid w:val="00D653C0"/>
    <w:rsid w:val="00D656C3"/>
    <w:rsid w:val="00D67AD7"/>
    <w:rsid w:val="00D67FD2"/>
    <w:rsid w:val="00D711EF"/>
    <w:rsid w:val="00D713F0"/>
    <w:rsid w:val="00D71D5D"/>
    <w:rsid w:val="00D72E77"/>
    <w:rsid w:val="00D73823"/>
    <w:rsid w:val="00D7695E"/>
    <w:rsid w:val="00D77253"/>
    <w:rsid w:val="00D77740"/>
    <w:rsid w:val="00D77E92"/>
    <w:rsid w:val="00D8111F"/>
    <w:rsid w:val="00D82E4E"/>
    <w:rsid w:val="00D82E85"/>
    <w:rsid w:val="00D83769"/>
    <w:rsid w:val="00D87626"/>
    <w:rsid w:val="00D9072C"/>
    <w:rsid w:val="00D92125"/>
    <w:rsid w:val="00D92193"/>
    <w:rsid w:val="00D93A41"/>
    <w:rsid w:val="00D93C53"/>
    <w:rsid w:val="00D93F06"/>
    <w:rsid w:val="00D94A7A"/>
    <w:rsid w:val="00D95032"/>
    <w:rsid w:val="00D96EE5"/>
    <w:rsid w:val="00D9707A"/>
    <w:rsid w:val="00D97CC7"/>
    <w:rsid w:val="00DA03B3"/>
    <w:rsid w:val="00DA06E0"/>
    <w:rsid w:val="00DA092F"/>
    <w:rsid w:val="00DA0F90"/>
    <w:rsid w:val="00DA0FF6"/>
    <w:rsid w:val="00DA11D5"/>
    <w:rsid w:val="00DA2F8B"/>
    <w:rsid w:val="00DA4F68"/>
    <w:rsid w:val="00DB0032"/>
    <w:rsid w:val="00DB25F8"/>
    <w:rsid w:val="00DB2727"/>
    <w:rsid w:val="00DB2F4B"/>
    <w:rsid w:val="00DB4661"/>
    <w:rsid w:val="00DB5778"/>
    <w:rsid w:val="00DB6259"/>
    <w:rsid w:val="00DB7777"/>
    <w:rsid w:val="00DC0AA2"/>
    <w:rsid w:val="00DC1344"/>
    <w:rsid w:val="00DC1B26"/>
    <w:rsid w:val="00DC1E94"/>
    <w:rsid w:val="00DC25B0"/>
    <w:rsid w:val="00DC2B06"/>
    <w:rsid w:val="00DC3643"/>
    <w:rsid w:val="00DC3664"/>
    <w:rsid w:val="00DC6296"/>
    <w:rsid w:val="00DC67C2"/>
    <w:rsid w:val="00DD20A7"/>
    <w:rsid w:val="00DD4876"/>
    <w:rsid w:val="00DD6C28"/>
    <w:rsid w:val="00DD6C50"/>
    <w:rsid w:val="00DD78BF"/>
    <w:rsid w:val="00DE0D33"/>
    <w:rsid w:val="00DE3EFF"/>
    <w:rsid w:val="00DE4456"/>
    <w:rsid w:val="00DE515B"/>
    <w:rsid w:val="00DE5DC8"/>
    <w:rsid w:val="00DE6549"/>
    <w:rsid w:val="00DE7E20"/>
    <w:rsid w:val="00DF1C47"/>
    <w:rsid w:val="00DF38D2"/>
    <w:rsid w:val="00DF4BB1"/>
    <w:rsid w:val="00DF50EA"/>
    <w:rsid w:val="00DF5274"/>
    <w:rsid w:val="00DF598E"/>
    <w:rsid w:val="00E00D6E"/>
    <w:rsid w:val="00E01692"/>
    <w:rsid w:val="00E0229E"/>
    <w:rsid w:val="00E02429"/>
    <w:rsid w:val="00E03CA6"/>
    <w:rsid w:val="00E04007"/>
    <w:rsid w:val="00E04CDC"/>
    <w:rsid w:val="00E04D57"/>
    <w:rsid w:val="00E0580C"/>
    <w:rsid w:val="00E0657F"/>
    <w:rsid w:val="00E069F0"/>
    <w:rsid w:val="00E07A68"/>
    <w:rsid w:val="00E10306"/>
    <w:rsid w:val="00E11593"/>
    <w:rsid w:val="00E159E7"/>
    <w:rsid w:val="00E16291"/>
    <w:rsid w:val="00E16C4F"/>
    <w:rsid w:val="00E16CFD"/>
    <w:rsid w:val="00E16FF0"/>
    <w:rsid w:val="00E17BAF"/>
    <w:rsid w:val="00E20265"/>
    <w:rsid w:val="00E2053A"/>
    <w:rsid w:val="00E20829"/>
    <w:rsid w:val="00E2095E"/>
    <w:rsid w:val="00E20F88"/>
    <w:rsid w:val="00E210EF"/>
    <w:rsid w:val="00E22E67"/>
    <w:rsid w:val="00E24E13"/>
    <w:rsid w:val="00E25894"/>
    <w:rsid w:val="00E314A6"/>
    <w:rsid w:val="00E31E66"/>
    <w:rsid w:val="00E323DD"/>
    <w:rsid w:val="00E32439"/>
    <w:rsid w:val="00E32E4E"/>
    <w:rsid w:val="00E33051"/>
    <w:rsid w:val="00E34321"/>
    <w:rsid w:val="00E349DA"/>
    <w:rsid w:val="00E3594B"/>
    <w:rsid w:val="00E371FD"/>
    <w:rsid w:val="00E37BDD"/>
    <w:rsid w:val="00E404A0"/>
    <w:rsid w:val="00E41268"/>
    <w:rsid w:val="00E4222E"/>
    <w:rsid w:val="00E42A20"/>
    <w:rsid w:val="00E43DEE"/>
    <w:rsid w:val="00E4527C"/>
    <w:rsid w:val="00E457F0"/>
    <w:rsid w:val="00E47355"/>
    <w:rsid w:val="00E47D87"/>
    <w:rsid w:val="00E50480"/>
    <w:rsid w:val="00E50B69"/>
    <w:rsid w:val="00E51337"/>
    <w:rsid w:val="00E516E2"/>
    <w:rsid w:val="00E52882"/>
    <w:rsid w:val="00E53249"/>
    <w:rsid w:val="00E55389"/>
    <w:rsid w:val="00E55757"/>
    <w:rsid w:val="00E56294"/>
    <w:rsid w:val="00E567AB"/>
    <w:rsid w:val="00E56B6B"/>
    <w:rsid w:val="00E56C65"/>
    <w:rsid w:val="00E5747F"/>
    <w:rsid w:val="00E57722"/>
    <w:rsid w:val="00E614A6"/>
    <w:rsid w:val="00E61608"/>
    <w:rsid w:val="00E65774"/>
    <w:rsid w:val="00E6669D"/>
    <w:rsid w:val="00E672B8"/>
    <w:rsid w:val="00E67CA7"/>
    <w:rsid w:val="00E67DDF"/>
    <w:rsid w:val="00E70F49"/>
    <w:rsid w:val="00E715CE"/>
    <w:rsid w:val="00E7309F"/>
    <w:rsid w:val="00E739C7"/>
    <w:rsid w:val="00E76CAA"/>
    <w:rsid w:val="00E7712F"/>
    <w:rsid w:val="00E823CB"/>
    <w:rsid w:val="00E83498"/>
    <w:rsid w:val="00E83CF7"/>
    <w:rsid w:val="00E83D17"/>
    <w:rsid w:val="00E842A5"/>
    <w:rsid w:val="00E84C3E"/>
    <w:rsid w:val="00E851F2"/>
    <w:rsid w:val="00E85B5D"/>
    <w:rsid w:val="00E85BAA"/>
    <w:rsid w:val="00E86323"/>
    <w:rsid w:val="00E86823"/>
    <w:rsid w:val="00E87E99"/>
    <w:rsid w:val="00E9000C"/>
    <w:rsid w:val="00E905AB"/>
    <w:rsid w:val="00E91978"/>
    <w:rsid w:val="00E94D50"/>
    <w:rsid w:val="00E9542C"/>
    <w:rsid w:val="00E9554F"/>
    <w:rsid w:val="00E955DB"/>
    <w:rsid w:val="00E967F1"/>
    <w:rsid w:val="00E96A25"/>
    <w:rsid w:val="00E97930"/>
    <w:rsid w:val="00EA06FA"/>
    <w:rsid w:val="00EA0A42"/>
    <w:rsid w:val="00EA2F8C"/>
    <w:rsid w:val="00EA343F"/>
    <w:rsid w:val="00EA3E92"/>
    <w:rsid w:val="00EA3FA1"/>
    <w:rsid w:val="00EA69A1"/>
    <w:rsid w:val="00EA69F4"/>
    <w:rsid w:val="00EA6B72"/>
    <w:rsid w:val="00EB1512"/>
    <w:rsid w:val="00EB2286"/>
    <w:rsid w:val="00EB2E00"/>
    <w:rsid w:val="00EB31B3"/>
    <w:rsid w:val="00EB46DE"/>
    <w:rsid w:val="00EB50BD"/>
    <w:rsid w:val="00EB525C"/>
    <w:rsid w:val="00EB5A61"/>
    <w:rsid w:val="00EB6079"/>
    <w:rsid w:val="00EB63FD"/>
    <w:rsid w:val="00EB69B0"/>
    <w:rsid w:val="00EB6BA2"/>
    <w:rsid w:val="00EB6C72"/>
    <w:rsid w:val="00EB7002"/>
    <w:rsid w:val="00EB7646"/>
    <w:rsid w:val="00EC46CA"/>
    <w:rsid w:val="00EC4B75"/>
    <w:rsid w:val="00EC4C1A"/>
    <w:rsid w:val="00EC597A"/>
    <w:rsid w:val="00EC5CA4"/>
    <w:rsid w:val="00EC5E2A"/>
    <w:rsid w:val="00EC6DE1"/>
    <w:rsid w:val="00EC6F49"/>
    <w:rsid w:val="00ED11BA"/>
    <w:rsid w:val="00ED19C7"/>
    <w:rsid w:val="00ED1FCB"/>
    <w:rsid w:val="00ED242B"/>
    <w:rsid w:val="00ED2B36"/>
    <w:rsid w:val="00ED438F"/>
    <w:rsid w:val="00ED4BD7"/>
    <w:rsid w:val="00ED64FF"/>
    <w:rsid w:val="00ED6A89"/>
    <w:rsid w:val="00ED761F"/>
    <w:rsid w:val="00ED7B28"/>
    <w:rsid w:val="00ED7D84"/>
    <w:rsid w:val="00EE00E5"/>
    <w:rsid w:val="00EE0810"/>
    <w:rsid w:val="00EE1504"/>
    <w:rsid w:val="00EE1B7D"/>
    <w:rsid w:val="00EE2B6E"/>
    <w:rsid w:val="00EE2C9B"/>
    <w:rsid w:val="00EE5A89"/>
    <w:rsid w:val="00EE6D5F"/>
    <w:rsid w:val="00EE763C"/>
    <w:rsid w:val="00EF036B"/>
    <w:rsid w:val="00EF10D0"/>
    <w:rsid w:val="00EF1FC7"/>
    <w:rsid w:val="00EF2194"/>
    <w:rsid w:val="00EF3561"/>
    <w:rsid w:val="00EF38F5"/>
    <w:rsid w:val="00EF39A0"/>
    <w:rsid w:val="00EF548D"/>
    <w:rsid w:val="00EF59F4"/>
    <w:rsid w:val="00EF72DE"/>
    <w:rsid w:val="00EF76B8"/>
    <w:rsid w:val="00EF7783"/>
    <w:rsid w:val="00EF7C99"/>
    <w:rsid w:val="00EF7FE2"/>
    <w:rsid w:val="00F02E7E"/>
    <w:rsid w:val="00F0392C"/>
    <w:rsid w:val="00F039D6"/>
    <w:rsid w:val="00F049A3"/>
    <w:rsid w:val="00F067C5"/>
    <w:rsid w:val="00F069A4"/>
    <w:rsid w:val="00F102AE"/>
    <w:rsid w:val="00F1150E"/>
    <w:rsid w:val="00F12054"/>
    <w:rsid w:val="00F147C4"/>
    <w:rsid w:val="00F159FD"/>
    <w:rsid w:val="00F2170A"/>
    <w:rsid w:val="00F217F3"/>
    <w:rsid w:val="00F222BC"/>
    <w:rsid w:val="00F24661"/>
    <w:rsid w:val="00F25E9C"/>
    <w:rsid w:val="00F262B6"/>
    <w:rsid w:val="00F26452"/>
    <w:rsid w:val="00F278D7"/>
    <w:rsid w:val="00F27D02"/>
    <w:rsid w:val="00F30575"/>
    <w:rsid w:val="00F32092"/>
    <w:rsid w:val="00F34515"/>
    <w:rsid w:val="00F34701"/>
    <w:rsid w:val="00F3695A"/>
    <w:rsid w:val="00F36D57"/>
    <w:rsid w:val="00F37F59"/>
    <w:rsid w:val="00F40BB3"/>
    <w:rsid w:val="00F431F8"/>
    <w:rsid w:val="00F43865"/>
    <w:rsid w:val="00F43CFE"/>
    <w:rsid w:val="00F47073"/>
    <w:rsid w:val="00F47423"/>
    <w:rsid w:val="00F47DC8"/>
    <w:rsid w:val="00F52699"/>
    <w:rsid w:val="00F5484D"/>
    <w:rsid w:val="00F54A84"/>
    <w:rsid w:val="00F5517C"/>
    <w:rsid w:val="00F55A15"/>
    <w:rsid w:val="00F55F97"/>
    <w:rsid w:val="00F56358"/>
    <w:rsid w:val="00F56F83"/>
    <w:rsid w:val="00F5715D"/>
    <w:rsid w:val="00F573AB"/>
    <w:rsid w:val="00F5745F"/>
    <w:rsid w:val="00F602CE"/>
    <w:rsid w:val="00F60C65"/>
    <w:rsid w:val="00F610F4"/>
    <w:rsid w:val="00F650BC"/>
    <w:rsid w:val="00F66079"/>
    <w:rsid w:val="00F66C87"/>
    <w:rsid w:val="00F66E8C"/>
    <w:rsid w:val="00F71D0D"/>
    <w:rsid w:val="00F733E9"/>
    <w:rsid w:val="00F751D3"/>
    <w:rsid w:val="00F752E7"/>
    <w:rsid w:val="00F762EE"/>
    <w:rsid w:val="00F7772A"/>
    <w:rsid w:val="00F77D90"/>
    <w:rsid w:val="00F8019F"/>
    <w:rsid w:val="00F826F3"/>
    <w:rsid w:val="00F82FA9"/>
    <w:rsid w:val="00F835B7"/>
    <w:rsid w:val="00F83C30"/>
    <w:rsid w:val="00F8511E"/>
    <w:rsid w:val="00F85B11"/>
    <w:rsid w:val="00F860E6"/>
    <w:rsid w:val="00F87DB7"/>
    <w:rsid w:val="00F9106D"/>
    <w:rsid w:val="00F911F7"/>
    <w:rsid w:val="00F945B7"/>
    <w:rsid w:val="00F94720"/>
    <w:rsid w:val="00F9732C"/>
    <w:rsid w:val="00F97594"/>
    <w:rsid w:val="00FA0B0A"/>
    <w:rsid w:val="00FA3501"/>
    <w:rsid w:val="00FA4549"/>
    <w:rsid w:val="00FA4D3E"/>
    <w:rsid w:val="00FA729A"/>
    <w:rsid w:val="00FA7518"/>
    <w:rsid w:val="00FA7FE5"/>
    <w:rsid w:val="00FB01F9"/>
    <w:rsid w:val="00FB152B"/>
    <w:rsid w:val="00FB186A"/>
    <w:rsid w:val="00FB3672"/>
    <w:rsid w:val="00FB3C8E"/>
    <w:rsid w:val="00FB3D4B"/>
    <w:rsid w:val="00FB3E37"/>
    <w:rsid w:val="00FB42E2"/>
    <w:rsid w:val="00FB5D25"/>
    <w:rsid w:val="00FB610E"/>
    <w:rsid w:val="00FB6D36"/>
    <w:rsid w:val="00FB7987"/>
    <w:rsid w:val="00FB7DBA"/>
    <w:rsid w:val="00FC07AF"/>
    <w:rsid w:val="00FC0886"/>
    <w:rsid w:val="00FC0B02"/>
    <w:rsid w:val="00FC0E81"/>
    <w:rsid w:val="00FC459C"/>
    <w:rsid w:val="00FC48B5"/>
    <w:rsid w:val="00FC4E7D"/>
    <w:rsid w:val="00FC68DB"/>
    <w:rsid w:val="00FC6D11"/>
    <w:rsid w:val="00FC769B"/>
    <w:rsid w:val="00FC7829"/>
    <w:rsid w:val="00FC7B81"/>
    <w:rsid w:val="00FD042D"/>
    <w:rsid w:val="00FD117E"/>
    <w:rsid w:val="00FD175F"/>
    <w:rsid w:val="00FD1D8F"/>
    <w:rsid w:val="00FD2559"/>
    <w:rsid w:val="00FD369F"/>
    <w:rsid w:val="00FD4279"/>
    <w:rsid w:val="00FD42C7"/>
    <w:rsid w:val="00FD48F2"/>
    <w:rsid w:val="00FD61BE"/>
    <w:rsid w:val="00FD648A"/>
    <w:rsid w:val="00FD7DB0"/>
    <w:rsid w:val="00FE0116"/>
    <w:rsid w:val="00FE1F2F"/>
    <w:rsid w:val="00FE2FB8"/>
    <w:rsid w:val="00FE355F"/>
    <w:rsid w:val="00FE55A9"/>
    <w:rsid w:val="00FE5690"/>
    <w:rsid w:val="00FE57D2"/>
    <w:rsid w:val="00FE5C3E"/>
    <w:rsid w:val="00FE6DB0"/>
    <w:rsid w:val="00FF02E4"/>
    <w:rsid w:val="00FF2158"/>
    <w:rsid w:val="00FF4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3A2801C6-CEB8-4A1E-8CC3-403AFC67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63C"/>
    <w:rPr>
      <w:sz w:val="24"/>
      <w:szCs w:val="24"/>
    </w:rPr>
  </w:style>
  <w:style w:type="paragraph" w:styleId="Balk1">
    <w:name w:val="heading 1"/>
    <w:basedOn w:val="Normal"/>
    <w:link w:val="Balk1Char"/>
    <w:qFormat/>
    <w:rsid w:val="0023039E"/>
    <w:pPr>
      <w:spacing w:before="100" w:beforeAutospacing="1" w:after="100" w:afterAutospacing="1"/>
      <w:outlineLvl w:val="0"/>
    </w:pPr>
    <w:rPr>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B4113"/>
    <w:pPr>
      <w:tabs>
        <w:tab w:val="center" w:pos="4536"/>
        <w:tab w:val="right" w:pos="9072"/>
      </w:tabs>
    </w:pPr>
  </w:style>
  <w:style w:type="paragraph" w:styleId="Altbilgi">
    <w:name w:val="footer"/>
    <w:basedOn w:val="Normal"/>
    <w:link w:val="AltbilgiChar"/>
    <w:uiPriority w:val="99"/>
    <w:rsid w:val="00AB4113"/>
    <w:pPr>
      <w:tabs>
        <w:tab w:val="center" w:pos="4536"/>
        <w:tab w:val="right" w:pos="9072"/>
      </w:tabs>
    </w:pPr>
  </w:style>
  <w:style w:type="character" w:styleId="Vurgu">
    <w:name w:val="Emphasis"/>
    <w:basedOn w:val="VarsaylanParagrafYazTipi"/>
    <w:qFormat/>
    <w:rsid w:val="0045417E"/>
    <w:rPr>
      <w:b/>
      <w:bCs/>
      <w:i w:val="0"/>
      <w:iCs w:val="0"/>
    </w:rPr>
  </w:style>
  <w:style w:type="table" w:styleId="TabloKlavuzu">
    <w:name w:val="Table Grid"/>
    <w:basedOn w:val="NormalTablo"/>
    <w:rsid w:val="00773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Web1">
    <w:name w:val="Table Web 1"/>
    <w:basedOn w:val="NormalTablo"/>
    <w:rsid w:val="00773D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eParagraf2">
    <w:name w:val="Liste Paragraf2"/>
    <w:basedOn w:val="Normal"/>
    <w:uiPriority w:val="99"/>
    <w:qFormat/>
    <w:rsid w:val="00E16CF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VarsaylanParagrafYazTipi"/>
    <w:rsid w:val="007368E1"/>
  </w:style>
  <w:style w:type="character" w:styleId="SayfaNumaras">
    <w:name w:val="page number"/>
    <w:basedOn w:val="VarsaylanParagrafYazTipi"/>
    <w:rsid w:val="000E0BB7"/>
  </w:style>
  <w:style w:type="paragraph" w:customStyle="1" w:styleId="Default">
    <w:name w:val="Default"/>
    <w:rsid w:val="006D072F"/>
    <w:pPr>
      <w:autoSpaceDE w:val="0"/>
      <w:autoSpaceDN w:val="0"/>
      <w:adjustRightInd w:val="0"/>
    </w:pPr>
    <w:rPr>
      <w:color w:val="000000"/>
      <w:sz w:val="24"/>
      <w:szCs w:val="24"/>
    </w:rPr>
  </w:style>
  <w:style w:type="paragraph" w:styleId="GvdeMetni">
    <w:name w:val="Body Text"/>
    <w:basedOn w:val="Default"/>
    <w:next w:val="Default"/>
    <w:link w:val="GvdeMetniChar"/>
    <w:uiPriority w:val="99"/>
    <w:rsid w:val="006D072F"/>
    <w:rPr>
      <w:color w:val="auto"/>
    </w:rPr>
  </w:style>
  <w:style w:type="character" w:customStyle="1" w:styleId="GvdeMetniChar">
    <w:name w:val="Gövde Metni Char"/>
    <w:basedOn w:val="VarsaylanParagrafYazTipi"/>
    <w:link w:val="GvdeMetni"/>
    <w:uiPriority w:val="99"/>
    <w:rsid w:val="006D072F"/>
    <w:rPr>
      <w:sz w:val="24"/>
      <w:szCs w:val="24"/>
    </w:rPr>
  </w:style>
  <w:style w:type="paragraph" w:styleId="BalonMetni">
    <w:name w:val="Balloon Text"/>
    <w:basedOn w:val="Normal"/>
    <w:semiHidden/>
    <w:rsid w:val="006B37A5"/>
    <w:rPr>
      <w:rFonts w:ascii="Tahoma" w:hAnsi="Tahoma" w:cs="Tahoma"/>
      <w:sz w:val="16"/>
      <w:szCs w:val="16"/>
    </w:rPr>
  </w:style>
  <w:style w:type="character" w:customStyle="1" w:styleId="stbilgiChar">
    <w:name w:val="Üstbilgi Char"/>
    <w:basedOn w:val="VarsaylanParagrafYazTipi"/>
    <w:link w:val="stbilgi"/>
    <w:uiPriority w:val="99"/>
    <w:rsid w:val="00F7772A"/>
    <w:rPr>
      <w:sz w:val="24"/>
      <w:szCs w:val="24"/>
    </w:rPr>
  </w:style>
  <w:style w:type="character" w:customStyle="1" w:styleId="AltbilgiChar">
    <w:name w:val="Altbilgi Char"/>
    <w:basedOn w:val="VarsaylanParagrafYazTipi"/>
    <w:link w:val="Altbilgi"/>
    <w:uiPriority w:val="99"/>
    <w:rsid w:val="00F7772A"/>
    <w:rPr>
      <w:sz w:val="24"/>
      <w:szCs w:val="24"/>
    </w:rPr>
  </w:style>
  <w:style w:type="paragraph" w:styleId="ListeParagraf">
    <w:name w:val="List Paragraph"/>
    <w:basedOn w:val="Normal"/>
    <w:qFormat/>
    <w:rsid w:val="00ED7B28"/>
    <w:pPr>
      <w:spacing w:after="200" w:line="276" w:lineRule="auto"/>
      <w:ind w:left="720" w:firstLine="709"/>
      <w:jc w:val="both"/>
    </w:pPr>
    <w:rPr>
      <w:rFonts w:ascii="Calibri" w:hAnsi="Calibri" w:cs="Calibri"/>
      <w:sz w:val="22"/>
      <w:szCs w:val="22"/>
      <w:lang w:eastAsia="en-US"/>
    </w:rPr>
  </w:style>
  <w:style w:type="paragraph" w:styleId="Altyaz">
    <w:name w:val="Subtitle"/>
    <w:basedOn w:val="Normal"/>
    <w:next w:val="Normal"/>
    <w:link w:val="AltyazChar"/>
    <w:qFormat/>
    <w:rsid w:val="00ED7B28"/>
    <w:pPr>
      <w:spacing w:after="60" w:line="360" w:lineRule="auto"/>
      <w:ind w:firstLine="709"/>
      <w:jc w:val="center"/>
      <w:outlineLvl w:val="1"/>
    </w:pPr>
    <w:rPr>
      <w:rFonts w:ascii="Cambria" w:hAnsi="Cambria"/>
    </w:rPr>
  </w:style>
  <w:style w:type="character" w:customStyle="1" w:styleId="AltyazChar">
    <w:name w:val="Altyazı Char"/>
    <w:basedOn w:val="VarsaylanParagrafYazTipi"/>
    <w:link w:val="Altyaz"/>
    <w:locked/>
    <w:rsid w:val="00ED7B28"/>
    <w:rPr>
      <w:rFonts w:ascii="Cambria" w:hAnsi="Cambria"/>
      <w:sz w:val="24"/>
      <w:szCs w:val="24"/>
      <w:lang w:val="tr-TR" w:eastAsia="tr-TR" w:bidi="ar-SA"/>
    </w:rPr>
  </w:style>
  <w:style w:type="paragraph" w:styleId="NormalWeb">
    <w:name w:val="Normal (Web)"/>
    <w:basedOn w:val="Normal"/>
    <w:rsid w:val="0023039E"/>
    <w:pPr>
      <w:spacing w:before="100" w:beforeAutospacing="1" w:after="100" w:afterAutospacing="1"/>
    </w:pPr>
    <w:rPr>
      <w:rFonts w:ascii="Arial" w:eastAsia="Calibri" w:hAnsi="Arial" w:cs="Arial"/>
      <w:sz w:val="18"/>
      <w:szCs w:val="18"/>
    </w:rPr>
  </w:style>
  <w:style w:type="character" w:customStyle="1" w:styleId="Balk1Char">
    <w:name w:val="Başlık 1 Char"/>
    <w:basedOn w:val="VarsaylanParagrafYazTipi"/>
    <w:link w:val="Balk1"/>
    <w:locked/>
    <w:rsid w:val="0023039E"/>
    <w:rPr>
      <w:b/>
      <w:bCs/>
      <w:kern w:val="36"/>
      <w:sz w:val="48"/>
      <w:szCs w:val="48"/>
      <w:lang w:val="tr-TR" w:eastAsia="tr-TR" w:bidi="ar-SA"/>
    </w:rPr>
  </w:style>
  <w:style w:type="character" w:styleId="Kpr">
    <w:name w:val="Hyperlink"/>
    <w:basedOn w:val="VarsaylanParagrafYazTipi"/>
    <w:uiPriority w:val="99"/>
    <w:unhideWhenUsed/>
    <w:rsid w:val="002838D6"/>
    <w:rPr>
      <w:color w:val="0000FF"/>
      <w:u w:val="single"/>
    </w:rPr>
  </w:style>
  <w:style w:type="paragraph" w:customStyle="1" w:styleId="rprtbody">
    <w:name w:val="rprtbody"/>
    <w:basedOn w:val="Normal"/>
    <w:rsid w:val="002838D6"/>
    <w:pPr>
      <w:spacing w:before="100" w:beforeAutospacing="1" w:after="100" w:afterAutospacing="1"/>
    </w:pPr>
  </w:style>
  <w:style w:type="character" w:customStyle="1" w:styleId="src">
    <w:name w:val="src"/>
    <w:basedOn w:val="VarsaylanParagrafYazTipi"/>
    <w:rsid w:val="002838D6"/>
  </w:style>
  <w:style w:type="character" w:customStyle="1" w:styleId="jrnl">
    <w:name w:val="jrnl"/>
    <w:basedOn w:val="VarsaylanParagrafYazTipi"/>
    <w:rsid w:val="002838D6"/>
  </w:style>
  <w:style w:type="paragraph" w:customStyle="1" w:styleId="citation">
    <w:name w:val="citation"/>
    <w:basedOn w:val="Normal"/>
    <w:rsid w:val="00AF4DBE"/>
    <w:pPr>
      <w:spacing w:before="100" w:beforeAutospacing="1" w:after="100" w:afterAutospacing="1"/>
    </w:pPr>
  </w:style>
  <w:style w:type="paragraph" w:customStyle="1" w:styleId="authlist">
    <w:name w:val="auth_list"/>
    <w:basedOn w:val="Normal"/>
    <w:rsid w:val="00AF4DBE"/>
    <w:pPr>
      <w:spacing w:before="100" w:beforeAutospacing="1" w:after="100" w:afterAutospacing="1"/>
    </w:pPr>
  </w:style>
  <w:style w:type="paragraph" w:customStyle="1" w:styleId="AralkYok1">
    <w:name w:val="Aralık Yok1"/>
    <w:uiPriority w:val="1"/>
    <w:qFormat/>
    <w:rsid w:val="00675592"/>
    <w:rPr>
      <w:sz w:val="24"/>
      <w:szCs w:val="24"/>
    </w:rPr>
  </w:style>
  <w:style w:type="paragraph" w:customStyle="1" w:styleId="ListeParagraf1">
    <w:name w:val="Liste Paragraf1"/>
    <w:basedOn w:val="Normal"/>
    <w:rsid w:val="003A4BF9"/>
    <w:pPr>
      <w:spacing w:after="200" w:line="276" w:lineRule="auto"/>
      <w:ind w:left="720" w:firstLine="709"/>
      <w:jc w:val="both"/>
    </w:pPr>
    <w:rPr>
      <w:rFonts w:ascii="Calibri" w:hAnsi="Calibri" w:cs="Calibri"/>
      <w:sz w:val="22"/>
      <w:szCs w:val="22"/>
      <w:lang w:eastAsia="en-US"/>
    </w:rPr>
  </w:style>
  <w:style w:type="paragraph" w:customStyle="1" w:styleId="aux1">
    <w:name w:val="aux1"/>
    <w:basedOn w:val="Normal"/>
    <w:rsid w:val="003A4BF9"/>
    <w:pPr>
      <w:spacing w:line="320" w:lineRule="atLeast"/>
    </w:pPr>
  </w:style>
  <w:style w:type="character" w:customStyle="1" w:styleId="src1">
    <w:name w:val="src1"/>
    <w:basedOn w:val="VarsaylanParagrafYazTipi"/>
    <w:rsid w:val="003A4BF9"/>
    <w:rPr>
      <w:vanish w:val="0"/>
      <w:webHidden w:val="0"/>
      <w:specVanish w:val="0"/>
    </w:rPr>
  </w:style>
  <w:style w:type="character" w:customStyle="1" w:styleId="ft">
    <w:name w:val="ft"/>
    <w:basedOn w:val="VarsaylanParagrafYazTipi"/>
    <w:rsid w:val="008C7FFE"/>
  </w:style>
  <w:style w:type="paragraph" w:customStyle="1" w:styleId="KonuBal1">
    <w:name w:val="Konu Başlığı1"/>
    <w:basedOn w:val="Normal"/>
    <w:rsid w:val="00A02BAE"/>
    <w:pPr>
      <w:spacing w:before="100" w:beforeAutospacing="1" w:after="100" w:afterAutospacing="1"/>
    </w:pPr>
  </w:style>
  <w:style w:type="paragraph" w:customStyle="1" w:styleId="DecimalAligned">
    <w:name w:val="Decimal Aligned"/>
    <w:basedOn w:val="Normal"/>
    <w:uiPriority w:val="40"/>
    <w:qFormat/>
    <w:rsid w:val="00150004"/>
    <w:pPr>
      <w:tabs>
        <w:tab w:val="decimal" w:pos="360"/>
      </w:tabs>
      <w:spacing w:after="200" w:line="276" w:lineRule="auto"/>
    </w:pPr>
    <w:rPr>
      <w:rFonts w:asciiTheme="minorHAnsi" w:eastAsiaTheme="minorEastAsia" w:hAnsiTheme="minorHAnsi"/>
      <w:sz w:val="22"/>
      <w:szCs w:val="22"/>
    </w:rPr>
  </w:style>
  <w:style w:type="paragraph" w:styleId="DipnotMetni">
    <w:name w:val="footnote text"/>
    <w:basedOn w:val="Normal"/>
    <w:link w:val="DipnotMetniChar"/>
    <w:uiPriority w:val="99"/>
    <w:unhideWhenUsed/>
    <w:rsid w:val="00150004"/>
    <w:rPr>
      <w:rFonts w:asciiTheme="minorHAnsi" w:eastAsiaTheme="minorEastAsia" w:hAnsiTheme="minorHAnsi"/>
      <w:sz w:val="20"/>
      <w:szCs w:val="20"/>
    </w:rPr>
  </w:style>
  <w:style w:type="character" w:customStyle="1" w:styleId="DipnotMetniChar">
    <w:name w:val="Dipnot Metni Char"/>
    <w:basedOn w:val="VarsaylanParagrafYazTipi"/>
    <w:link w:val="DipnotMetni"/>
    <w:uiPriority w:val="99"/>
    <w:rsid w:val="00150004"/>
    <w:rPr>
      <w:rFonts w:asciiTheme="minorHAnsi" w:eastAsiaTheme="minorEastAsia" w:hAnsiTheme="minorHAnsi"/>
    </w:rPr>
  </w:style>
  <w:style w:type="character" w:styleId="HafifVurgulama">
    <w:name w:val="Subtle Emphasis"/>
    <w:basedOn w:val="VarsaylanParagrafYazTipi"/>
    <w:uiPriority w:val="19"/>
    <w:qFormat/>
    <w:rsid w:val="00150004"/>
    <w:rPr>
      <w:i/>
      <w:iCs/>
    </w:rPr>
  </w:style>
  <w:style w:type="table" w:styleId="AkGlgeleme-Vurgu1">
    <w:name w:val="Light Shading Accent 1"/>
    <w:basedOn w:val="NormalTablo"/>
    <w:uiPriority w:val="60"/>
    <w:rsid w:val="00150004"/>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eTablo6Renkli">
    <w:name w:val="List Table 6 Colorful"/>
    <w:basedOn w:val="NormalTablo"/>
    <w:uiPriority w:val="51"/>
    <w:rsid w:val="005A2B3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zTablo2">
    <w:name w:val="Plain Table 2"/>
    <w:basedOn w:val="NormalTablo"/>
    <w:uiPriority w:val="42"/>
    <w:rsid w:val="005A2B3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1Ak">
    <w:name w:val="Grid Table 1 Light"/>
    <w:basedOn w:val="NormalTablo"/>
    <w:uiPriority w:val="46"/>
    <w:rsid w:val="005A2B3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51503">
      <w:bodyDiv w:val="1"/>
      <w:marLeft w:val="0"/>
      <w:marRight w:val="0"/>
      <w:marTop w:val="0"/>
      <w:marBottom w:val="0"/>
      <w:divBdr>
        <w:top w:val="none" w:sz="0" w:space="0" w:color="auto"/>
        <w:left w:val="none" w:sz="0" w:space="0" w:color="auto"/>
        <w:bottom w:val="none" w:sz="0" w:space="0" w:color="auto"/>
        <w:right w:val="none" w:sz="0" w:space="0" w:color="auto"/>
      </w:divBdr>
      <w:divsChild>
        <w:div w:id="2132168116">
          <w:marLeft w:val="0"/>
          <w:marRight w:val="0"/>
          <w:marTop w:val="0"/>
          <w:marBottom w:val="0"/>
          <w:divBdr>
            <w:top w:val="none" w:sz="0" w:space="0" w:color="auto"/>
            <w:left w:val="none" w:sz="0" w:space="0" w:color="auto"/>
            <w:bottom w:val="none" w:sz="0" w:space="0" w:color="auto"/>
            <w:right w:val="none" w:sz="0" w:space="0" w:color="auto"/>
          </w:divBdr>
          <w:divsChild>
            <w:div w:id="1952399518">
              <w:marLeft w:val="0"/>
              <w:marRight w:val="0"/>
              <w:marTop w:val="0"/>
              <w:marBottom w:val="0"/>
              <w:divBdr>
                <w:top w:val="none" w:sz="0" w:space="0" w:color="auto"/>
                <w:left w:val="none" w:sz="0" w:space="0" w:color="auto"/>
                <w:bottom w:val="none" w:sz="0" w:space="0" w:color="auto"/>
                <w:right w:val="none" w:sz="0" w:space="0" w:color="auto"/>
              </w:divBdr>
              <w:divsChild>
                <w:div w:id="880871491">
                  <w:marLeft w:val="0"/>
                  <w:marRight w:val="0"/>
                  <w:marTop w:val="0"/>
                  <w:marBottom w:val="0"/>
                  <w:divBdr>
                    <w:top w:val="none" w:sz="0" w:space="0" w:color="auto"/>
                    <w:left w:val="none" w:sz="0" w:space="0" w:color="auto"/>
                    <w:bottom w:val="none" w:sz="0" w:space="0" w:color="auto"/>
                    <w:right w:val="none" w:sz="0" w:space="0" w:color="auto"/>
                  </w:divBdr>
                  <w:divsChild>
                    <w:div w:id="1953973080">
                      <w:marLeft w:val="0"/>
                      <w:marRight w:val="5604"/>
                      <w:marTop w:val="0"/>
                      <w:marBottom w:val="0"/>
                      <w:divBdr>
                        <w:top w:val="none" w:sz="0" w:space="0" w:color="auto"/>
                        <w:left w:val="none" w:sz="0" w:space="0" w:color="auto"/>
                        <w:bottom w:val="none" w:sz="0" w:space="0" w:color="auto"/>
                        <w:right w:val="none" w:sz="0" w:space="0" w:color="auto"/>
                      </w:divBdr>
                      <w:divsChild>
                        <w:div w:id="2006666762">
                          <w:marLeft w:val="0"/>
                          <w:marRight w:val="0"/>
                          <w:marTop w:val="0"/>
                          <w:marBottom w:val="0"/>
                          <w:divBdr>
                            <w:top w:val="none" w:sz="0" w:space="0" w:color="auto"/>
                            <w:left w:val="none" w:sz="0" w:space="0" w:color="auto"/>
                            <w:bottom w:val="none" w:sz="0" w:space="0" w:color="auto"/>
                            <w:right w:val="none" w:sz="0" w:space="0" w:color="auto"/>
                          </w:divBdr>
                          <w:divsChild>
                            <w:div w:id="36857918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69970">
      <w:bodyDiv w:val="1"/>
      <w:marLeft w:val="0"/>
      <w:marRight w:val="0"/>
      <w:marTop w:val="0"/>
      <w:marBottom w:val="0"/>
      <w:divBdr>
        <w:top w:val="none" w:sz="0" w:space="0" w:color="auto"/>
        <w:left w:val="none" w:sz="0" w:space="0" w:color="auto"/>
        <w:bottom w:val="none" w:sz="0" w:space="0" w:color="auto"/>
        <w:right w:val="none" w:sz="0" w:space="0" w:color="auto"/>
      </w:divBdr>
      <w:divsChild>
        <w:div w:id="621378499">
          <w:marLeft w:val="0"/>
          <w:marRight w:val="0"/>
          <w:marTop w:val="0"/>
          <w:marBottom w:val="0"/>
          <w:divBdr>
            <w:top w:val="none" w:sz="0" w:space="0" w:color="auto"/>
            <w:left w:val="none" w:sz="0" w:space="0" w:color="auto"/>
            <w:bottom w:val="none" w:sz="0" w:space="0" w:color="auto"/>
            <w:right w:val="none" w:sz="0" w:space="0" w:color="auto"/>
          </w:divBdr>
          <w:divsChild>
            <w:div w:id="519706023">
              <w:marLeft w:val="0"/>
              <w:marRight w:val="0"/>
              <w:marTop w:val="0"/>
              <w:marBottom w:val="0"/>
              <w:divBdr>
                <w:top w:val="none" w:sz="0" w:space="0" w:color="auto"/>
                <w:left w:val="none" w:sz="0" w:space="0" w:color="auto"/>
                <w:bottom w:val="none" w:sz="0" w:space="0" w:color="auto"/>
                <w:right w:val="none" w:sz="0" w:space="0" w:color="auto"/>
              </w:divBdr>
              <w:divsChild>
                <w:div w:id="1951743798">
                  <w:marLeft w:val="0"/>
                  <w:marRight w:val="0"/>
                  <w:marTop w:val="0"/>
                  <w:marBottom w:val="0"/>
                  <w:divBdr>
                    <w:top w:val="none" w:sz="0" w:space="0" w:color="auto"/>
                    <w:left w:val="none" w:sz="0" w:space="0" w:color="auto"/>
                    <w:bottom w:val="none" w:sz="0" w:space="0" w:color="auto"/>
                    <w:right w:val="none" w:sz="0" w:space="0" w:color="auto"/>
                  </w:divBdr>
                  <w:divsChild>
                    <w:div w:id="210311253">
                      <w:marLeft w:val="0"/>
                      <w:marRight w:val="5604"/>
                      <w:marTop w:val="0"/>
                      <w:marBottom w:val="0"/>
                      <w:divBdr>
                        <w:top w:val="none" w:sz="0" w:space="0" w:color="auto"/>
                        <w:left w:val="none" w:sz="0" w:space="0" w:color="auto"/>
                        <w:bottom w:val="none" w:sz="0" w:space="0" w:color="auto"/>
                        <w:right w:val="none" w:sz="0" w:space="0" w:color="auto"/>
                      </w:divBdr>
                      <w:divsChild>
                        <w:div w:id="637952317">
                          <w:marLeft w:val="0"/>
                          <w:marRight w:val="0"/>
                          <w:marTop w:val="0"/>
                          <w:marBottom w:val="0"/>
                          <w:divBdr>
                            <w:top w:val="none" w:sz="0" w:space="0" w:color="auto"/>
                            <w:left w:val="none" w:sz="0" w:space="0" w:color="auto"/>
                            <w:bottom w:val="none" w:sz="0" w:space="0" w:color="auto"/>
                            <w:right w:val="none" w:sz="0" w:space="0" w:color="auto"/>
                          </w:divBdr>
                          <w:divsChild>
                            <w:div w:id="1856530660">
                              <w:marLeft w:val="0"/>
                              <w:marRight w:val="0"/>
                              <w:marTop w:val="120"/>
                              <w:marBottom w:val="360"/>
                              <w:divBdr>
                                <w:top w:val="none" w:sz="0" w:space="0" w:color="auto"/>
                                <w:left w:val="none" w:sz="0" w:space="0" w:color="auto"/>
                                <w:bottom w:val="none" w:sz="0" w:space="0" w:color="auto"/>
                                <w:right w:val="none" w:sz="0" w:space="0" w:color="auto"/>
                              </w:divBdr>
                              <w:divsChild>
                                <w:div w:id="348337188">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878900">
      <w:bodyDiv w:val="1"/>
      <w:marLeft w:val="0"/>
      <w:marRight w:val="0"/>
      <w:marTop w:val="0"/>
      <w:marBottom w:val="0"/>
      <w:divBdr>
        <w:top w:val="none" w:sz="0" w:space="0" w:color="auto"/>
        <w:left w:val="none" w:sz="0" w:space="0" w:color="auto"/>
        <w:bottom w:val="none" w:sz="0" w:space="0" w:color="auto"/>
        <w:right w:val="none" w:sz="0" w:space="0" w:color="auto"/>
      </w:divBdr>
      <w:divsChild>
        <w:div w:id="1636829622">
          <w:marLeft w:val="0"/>
          <w:marRight w:val="0"/>
          <w:marTop w:val="0"/>
          <w:marBottom w:val="0"/>
          <w:divBdr>
            <w:top w:val="none" w:sz="0" w:space="0" w:color="auto"/>
            <w:left w:val="none" w:sz="0" w:space="0" w:color="auto"/>
            <w:bottom w:val="none" w:sz="0" w:space="0" w:color="auto"/>
            <w:right w:val="none" w:sz="0" w:space="0" w:color="auto"/>
          </w:divBdr>
          <w:divsChild>
            <w:div w:id="1433668161">
              <w:marLeft w:val="0"/>
              <w:marRight w:val="0"/>
              <w:marTop w:val="0"/>
              <w:marBottom w:val="0"/>
              <w:divBdr>
                <w:top w:val="none" w:sz="0" w:space="0" w:color="auto"/>
                <w:left w:val="none" w:sz="0" w:space="0" w:color="auto"/>
                <w:bottom w:val="none" w:sz="0" w:space="0" w:color="auto"/>
                <w:right w:val="none" w:sz="0" w:space="0" w:color="auto"/>
              </w:divBdr>
              <w:divsChild>
                <w:div w:id="915474375">
                  <w:marLeft w:val="0"/>
                  <w:marRight w:val="0"/>
                  <w:marTop w:val="0"/>
                  <w:marBottom w:val="0"/>
                  <w:divBdr>
                    <w:top w:val="none" w:sz="0" w:space="0" w:color="auto"/>
                    <w:left w:val="none" w:sz="0" w:space="0" w:color="auto"/>
                    <w:bottom w:val="none" w:sz="0" w:space="0" w:color="auto"/>
                    <w:right w:val="none" w:sz="0" w:space="0" w:color="auto"/>
                  </w:divBdr>
                  <w:divsChild>
                    <w:div w:id="2001301260">
                      <w:marLeft w:val="0"/>
                      <w:marRight w:val="5604"/>
                      <w:marTop w:val="0"/>
                      <w:marBottom w:val="0"/>
                      <w:divBdr>
                        <w:top w:val="none" w:sz="0" w:space="0" w:color="auto"/>
                        <w:left w:val="none" w:sz="0" w:space="0" w:color="auto"/>
                        <w:bottom w:val="none" w:sz="0" w:space="0" w:color="auto"/>
                        <w:right w:val="none" w:sz="0" w:space="0" w:color="auto"/>
                      </w:divBdr>
                      <w:divsChild>
                        <w:div w:id="1042049952">
                          <w:marLeft w:val="0"/>
                          <w:marRight w:val="0"/>
                          <w:marTop w:val="0"/>
                          <w:marBottom w:val="0"/>
                          <w:divBdr>
                            <w:top w:val="none" w:sz="0" w:space="0" w:color="auto"/>
                            <w:left w:val="none" w:sz="0" w:space="0" w:color="auto"/>
                            <w:bottom w:val="none" w:sz="0" w:space="0" w:color="auto"/>
                            <w:right w:val="none" w:sz="0" w:space="0" w:color="auto"/>
                          </w:divBdr>
                          <w:divsChild>
                            <w:div w:id="71500922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99883">
      <w:bodyDiv w:val="1"/>
      <w:marLeft w:val="0"/>
      <w:marRight w:val="0"/>
      <w:marTop w:val="0"/>
      <w:marBottom w:val="0"/>
      <w:divBdr>
        <w:top w:val="none" w:sz="0" w:space="0" w:color="auto"/>
        <w:left w:val="none" w:sz="0" w:space="0" w:color="auto"/>
        <w:bottom w:val="none" w:sz="0" w:space="0" w:color="auto"/>
        <w:right w:val="none" w:sz="0" w:space="0" w:color="auto"/>
      </w:divBdr>
      <w:divsChild>
        <w:div w:id="1289435214">
          <w:marLeft w:val="0"/>
          <w:marRight w:val="0"/>
          <w:marTop w:val="0"/>
          <w:marBottom w:val="0"/>
          <w:divBdr>
            <w:top w:val="none" w:sz="0" w:space="0" w:color="auto"/>
            <w:left w:val="none" w:sz="0" w:space="0" w:color="auto"/>
            <w:bottom w:val="none" w:sz="0" w:space="0" w:color="auto"/>
            <w:right w:val="none" w:sz="0" w:space="0" w:color="auto"/>
          </w:divBdr>
          <w:divsChild>
            <w:div w:id="709064431">
              <w:marLeft w:val="0"/>
              <w:marRight w:val="0"/>
              <w:marTop w:val="0"/>
              <w:marBottom w:val="0"/>
              <w:divBdr>
                <w:top w:val="none" w:sz="0" w:space="0" w:color="auto"/>
                <w:left w:val="none" w:sz="0" w:space="0" w:color="auto"/>
                <w:bottom w:val="none" w:sz="0" w:space="0" w:color="auto"/>
                <w:right w:val="none" w:sz="0" w:space="0" w:color="auto"/>
              </w:divBdr>
              <w:divsChild>
                <w:div w:id="1748725682">
                  <w:marLeft w:val="0"/>
                  <w:marRight w:val="0"/>
                  <w:marTop w:val="0"/>
                  <w:marBottom w:val="0"/>
                  <w:divBdr>
                    <w:top w:val="none" w:sz="0" w:space="0" w:color="auto"/>
                    <w:left w:val="none" w:sz="0" w:space="0" w:color="auto"/>
                    <w:bottom w:val="none" w:sz="0" w:space="0" w:color="auto"/>
                    <w:right w:val="none" w:sz="0" w:space="0" w:color="auto"/>
                  </w:divBdr>
                  <w:divsChild>
                    <w:div w:id="825248265">
                      <w:marLeft w:val="0"/>
                      <w:marRight w:val="5604"/>
                      <w:marTop w:val="0"/>
                      <w:marBottom w:val="0"/>
                      <w:divBdr>
                        <w:top w:val="none" w:sz="0" w:space="0" w:color="auto"/>
                        <w:left w:val="none" w:sz="0" w:space="0" w:color="auto"/>
                        <w:bottom w:val="none" w:sz="0" w:space="0" w:color="auto"/>
                        <w:right w:val="none" w:sz="0" w:space="0" w:color="auto"/>
                      </w:divBdr>
                      <w:divsChild>
                        <w:div w:id="283118571">
                          <w:marLeft w:val="0"/>
                          <w:marRight w:val="0"/>
                          <w:marTop w:val="0"/>
                          <w:marBottom w:val="0"/>
                          <w:divBdr>
                            <w:top w:val="none" w:sz="0" w:space="0" w:color="auto"/>
                            <w:left w:val="none" w:sz="0" w:space="0" w:color="auto"/>
                            <w:bottom w:val="none" w:sz="0" w:space="0" w:color="auto"/>
                            <w:right w:val="none" w:sz="0" w:space="0" w:color="auto"/>
                          </w:divBdr>
                          <w:divsChild>
                            <w:div w:id="424887478">
                              <w:marLeft w:val="0"/>
                              <w:marRight w:val="0"/>
                              <w:marTop w:val="120"/>
                              <w:marBottom w:val="360"/>
                              <w:divBdr>
                                <w:top w:val="none" w:sz="0" w:space="0" w:color="auto"/>
                                <w:left w:val="none" w:sz="0" w:space="0" w:color="auto"/>
                                <w:bottom w:val="none" w:sz="0" w:space="0" w:color="auto"/>
                                <w:right w:val="none" w:sz="0" w:space="0" w:color="auto"/>
                              </w:divBdr>
                              <w:divsChild>
                                <w:div w:id="80181784">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25233">
      <w:bodyDiv w:val="1"/>
      <w:marLeft w:val="0"/>
      <w:marRight w:val="0"/>
      <w:marTop w:val="0"/>
      <w:marBottom w:val="0"/>
      <w:divBdr>
        <w:top w:val="none" w:sz="0" w:space="0" w:color="auto"/>
        <w:left w:val="none" w:sz="0" w:space="0" w:color="auto"/>
        <w:bottom w:val="none" w:sz="0" w:space="0" w:color="auto"/>
        <w:right w:val="none" w:sz="0" w:space="0" w:color="auto"/>
      </w:divBdr>
      <w:divsChild>
        <w:div w:id="1398473102">
          <w:marLeft w:val="0"/>
          <w:marRight w:val="0"/>
          <w:marTop w:val="0"/>
          <w:marBottom w:val="0"/>
          <w:divBdr>
            <w:top w:val="none" w:sz="0" w:space="0" w:color="auto"/>
            <w:left w:val="none" w:sz="0" w:space="0" w:color="auto"/>
            <w:bottom w:val="none" w:sz="0" w:space="0" w:color="auto"/>
            <w:right w:val="none" w:sz="0" w:space="0" w:color="auto"/>
          </w:divBdr>
          <w:divsChild>
            <w:div w:id="839195639">
              <w:marLeft w:val="0"/>
              <w:marRight w:val="0"/>
              <w:marTop w:val="0"/>
              <w:marBottom w:val="0"/>
              <w:divBdr>
                <w:top w:val="none" w:sz="0" w:space="0" w:color="auto"/>
                <w:left w:val="none" w:sz="0" w:space="0" w:color="auto"/>
                <w:bottom w:val="none" w:sz="0" w:space="0" w:color="auto"/>
                <w:right w:val="none" w:sz="0" w:space="0" w:color="auto"/>
              </w:divBdr>
              <w:divsChild>
                <w:div w:id="1671448352">
                  <w:marLeft w:val="0"/>
                  <w:marRight w:val="-6084"/>
                  <w:marTop w:val="0"/>
                  <w:marBottom w:val="0"/>
                  <w:divBdr>
                    <w:top w:val="none" w:sz="0" w:space="0" w:color="auto"/>
                    <w:left w:val="none" w:sz="0" w:space="0" w:color="auto"/>
                    <w:bottom w:val="none" w:sz="0" w:space="0" w:color="auto"/>
                    <w:right w:val="none" w:sz="0" w:space="0" w:color="auto"/>
                  </w:divBdr>
                  <w:divsChild>
                    <w:div w:id="313029439">
                      <w:marLeft w:val="0"/>
                      <w:marRight w:val="5604"/>
                      <w:marTop w:val="0"/>
                      <w:marBottom w:val="0"/>
                      <w:divBdr>
                        <w:top w:val="none" w:sz="0" w:space="0" w:color="auto"/>
                        <w:left w:val="none" w:sz="0" w:space="0" w:color="auto"/>
                        <w:bottom w:val="none" w:sz="0" w:space="0" w:color="auto"/>
                        <w:right w:val="none" w:sz="0" w:space="0" w:color="auto"/>
                      </w:divBdr>
                      <w:divsChild>
                        <w:div w:id="1805002071">
                          <w:marLeft w:val="0"/>
                          <w:marRight w:val="0"/>
                          <w:marTop w:val="0"/>
                          <w:marBottom w:val="0"/>
                          <w:divBdr>
                            <w:top w:val="none" w:sz="0" w:space="0" w:color="auto"/>
                            <w:left w:val="none" w:sz="0" w:space="0" w:color="auto"/>
                            <w:bottom w:val="none" w:sz="0" w:space="0" w:color="auto"/>
                            <w:right w:val="none" w:sz="0" w:space="0" w:color="auto"/>
                          </w:divBdr>
                          <w:divsChild>
                            <w:div w:id="15499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202326">
      <w:bodyDiv w:val="1"/>
      <w:marLeft w:val="0"/>
      <w:marRight w:val="0"/>
      <w:marTop w:val="0"/>
      <w:marBottom w:val="0"/>
      <w:divBdr>
        <w:top w:val="none" w:sz="0" w:space="0" w:color="auto"/>
        <w:left w:val="none" w:sz="0" w:space="0" w:color="auto"/>
        <w:bottom w:val="none" w:sz="0" w:space="0" w:color="auto"/>
        <w:right w:val="none" w:sz="0" w:space="0" w:color="auto"/>
      </w:divBdr>
    </w:div>
    <w:div w:id="861095068">
      <w:bodyDiv w:val="1"/>
      <w:marLeft w:val="0"/>
      <w:marRight w:val="0"/>
      <w:marTop w:val="0"/>
      <w:marBottom w:val="0"/>
      <w:divBdr>
        <w:top w:val="none" w:sz="0" w:space="0" w:color="auto"/>
        <w:left w:val="none" w:sz="0" w:space="0" w:color="auto"/>
        <w:bottom w:val="none" w:sz="0" w:space="0" w:color="auto"/>
        <w:right w:val="none" w:sz="0" w:space="0" w:color="auto"/>
      </w:divBdr>
      <w:divsChild>
        <w:div w:id="1204097830">
          <w:marLeft w:val="0"/>
          <w:marRight w:val="0"/>
          <w:marTop w:val="0"/>
          <w:marBottom w:val="0"/>
          <w:divBdr>
            <w:top w:val="none" w:sz="0" w:space="0" w:color="auto"/>
            <w:left w:val="none" w:sz="0" w:space="0" w:color="auto"/>
            <w:bottom w:val="none" w:sz="0" w:space="0" w:color="auto"/>
            <w:right w:val="none" w:sz="0" w:space="0" w:color="auto"/>
          </w:divBdr>
          <w:divsChild>
            <w:div w:id="2112584971">
              <w:marLeft w:val="0"/>
              <w:marRight w:val="0"/>
              <w:marTop w:val="0"/>
              <w:marBottom w:val="0"/>
              <w:divBdr>
                <w:top w:val="none" w:sz="0" w:space="0" w:color="auto"/>
                <w:left w:val="none" w:sz="0" w:space="0" w:color="auto"/>
                <w:bottom w:val="none" w:sz="0" w:space="0" w:color="auto"/>
                <w:right w:val="none" w:sz="0" w:space="0" w:color="auto"/>
              </w:divBdr>
              <w:divsChild>
                <w:div w:id="1822846109">
                  <w:marLeft w:val="0"/>
                  <w:marRight w:val="0"/>
                  <w:marTop w:val="0"/>
                  <w:marBottom w:val="0"/>
                  <w:divBdr>
                    <w:top w:val="none" w:sz="0" w:space="0" w:color="auto"/>
                    <w:left w:val="none" w:sz="0" w:space="0" w:color="auto"/>
                    <w:bottom w:val="none" w:sz="0" w:space="0" w:color="auto"/>
                    <w:right w:val="none" w:sz="0" w:space="0" w:color="auto"/>
                  </w:divBdr>
                  <w:divsChild>
                    <w:div w:id="396051490">
                      <w:marLeft w:val="0"/>
                      <w:marRight w:val="5604"/>
                      <w:marTop w:val="0"/>
                      <w:marBottom w:val="0"/>
                      <w:divBdr>
                        <w:top w:val="none" w:sz="0" w:space="0" w:color="auto"/>
                        <w:left w:val="none" w:sz="0" w:space="0" w:color="auto"/>
                        <w:bottom w:val="none" w:sz="0" w:space="0" w:color="auto"/>
                        <w:right w:val="none" w:sz="0" w:space="0" w:color="auto"/>
                      </w:divBdr>
                      <w:divsChild>
                        <w:div w:id="425151010">
                          <w:marLeft w:val="0"/>
                          <w:marRight w:val="0"/>
                          <w:marTop w:val="0"/>
                          <w:marBottom w:val="0"/>
                          <w:divBdr>
                            <w:top w:val="none" w:sz="0" w:space="0" w:color="auto"/>
                            <w:left w:val="none" w:sz="0" w:space="0" w:color="auto"/>
                            <w:bottom w:val="none" w:sz="0" w:space="0" w:color="auto"/>
                            <w:right w:val="none" w:sz="0" w:space="0" w:color="auto"/>
                          </w:divBdr>
                          <w:divsChild>
                            <w:div w:id="117335848">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723813">
      <w:bodyDiv w:val="1"/>
      <w:marLeft w:val="0"/>
      <w:marRight w:val="0"/>
      <w:marTop w:val="0"/>
      <w:marBottom w:val="0"/>
      <w:divBdr>
        <w:top w:val="none" w:sz="0" w:space="0" w:color="auto"/>
        <w:left w:val="none" w:sz="0" w:space="0" w:color="auto"/>
        <w:bottom w:val="none" w:sz="0" w:space="0" w:color="auto"/>
        <w:right w:val="none" w:sz="0" w:space="0" w:color="auto"/>
      </w:divBdr>
      <w:divsChild>
        <w:div w:id="427846956">
          <w:marLeft w:val="0"/>
          <w:marRight w:val="0"/>
          <w:marTop w:val="0"/>
          <w:marBottom w:val="0"/>
          <w:divBdr>
            <w:top w:val="none" w:sz="0" w:space="0" w:color="auto"/>
            <w:left w:val="none" w:sz="0" w:space="0" w:color="auto"/>
            <w:bottom w:val="none" w:sz="0" w:space="0" w:color="auto"/>
            <w:right w:val="none" w:sz="0" w:space="0" w:color="auto"/>
          </w:divBdr>
          <w:divsChild>
            <w:div w:id="1167399034">
              <w:marLeft w:val="0"/>
              <w:marRight w:val="0"/>
              <w:marTop w:val="0"/>
              <w:marBottom w:val="0"/>
              <w:divBdr>
                <w:top w:val="none" w:sz="0" w:space="0" w:color="auto"/>
                <w:left w:val="none" w:sz="0" w:space="0" w:color="auto"/>
                <w:bottom w:val="none" w:sz="0" w:space="0" w:color="auto"/>
                <w:right w:val="none" w:sz="0" w:space="0" w:color="auto"/>
              </w:divBdr>
              <w:divsChild>
                <w:div w:id="1842625178">
                  <w:marLeft w:val="0"/>
                  <w:marRight w:val="0"/>
                  <w:marTop w:val="0"/>
                  <w:marBottom w:val="0"/>
                  <w:divBdr>
                    <w:top w:val="none" w:sz="0" w:space="0" w:color="auto"/>
                    <w:left w:val="none" w:sz="0" w:space="0" w:color="auto"/>
                    <w:bottom w:val="none" w:sz="0" w:space="0" w:color="auto"/>
                    <w:right w:val="none" w:sz="0" w:space="0" w:color="auto"/>
                  </w:divBdr>
                  <w:divsChild>
                    <w:div w:id="615330168">
                      <w:marLeft w:val="0"/>
                      <w:marRight w:val="5604"/>
                      <w:marTop w:val="0"/>
                      <w:marBottom w:val="0"/>
                      <w:divBdr>
                        <w:top w:val="none" w:sz="0" w:space="0" w:color="auto"/>
                        <w:left w:val="none" w:sz="0" w:space="0" w:color="auto"/>
                        <w:bottom w:val="none" w:sz="0" w:space="0" w:color="auto"/>
                        <w:right w:val="none" w:sz="0" w:space="0" w:color="auto"/>
                      </w:divBdr>
                      <w:divsChild>
                        <w:div w:id="259993514">
                          <w:marLeft w:val="0"/>
                          <w:marRight w:val="0"/>
                          <w:marTop w:val="0"/>
                          <w:marBottom w:val="0"/>
                          <w:divBdr>
                            <w:top w:val="none" w:sz="0" w:space="0" w:color="auto"/>
                            <w:left w:val="none" w:sz="0" w:space="0" w:color="auto"/>
                            <w:bottom w:val="none" w:sz="0" w:space="0" w:color="auto"/>
                            <w:right w:val="none" w:sz="0" w:space="0" w:color="auto"/>
                          </w:divBdr>
                          <w:divsChild>
                            <w:div w:id="170590894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177683">
      <w:bodyDiv w:val="1"/>
      <w:marLeft w:val="0"/>
      <w:marRight w:val="0"/>
      <w:marTop w:val="0"/>
      <w:marBottom w:val="0"/>
      <w:divBdr>
        <w:top w:val="none" w:sz="0" w:space="0" w:color="auto"/>
        <w:left w:val="none" w:sz="0" w:space="0" w:color="auto"/>
        <w:bottom w:val="none" w:sz="0" w:space="0" w:color="auto"/>
        <w:right w:val="none" w:sz="0" w:space="0" w:color="auto"/>
      </w:divBdr>
      <w:divsChild>
        <w:div w:id="227349528">
          <w:marLeft w:val="0"/>
          <w:marRight w:val="0"/>
          <w:marTop w:val="0"/>
          <w:marBottom w:val="0"/>
          <w:divBdr>
            <w:top w:val="none" w:sz="0" w:space="0" w:color="auto"/>
            <w:left w:val="none" w:sz="0" w:space="0" w:color="auto"/>
            <w:bottom w:val="none" w:sz="0" w:space="0" w:color="auto"/>
            <w:right w:val="none" w:sz="0" w:space="0" w:color="auto"/>
          </w:divBdr>
          <w:divsChild>
            <w:div w:id="125660254">
              <w:marLeft w:val="0"/>
              <w:marRight w:val="0"/>
              <w:marTop w:val="0"/>
              <w:marBottom w:val="0"/>
              <w:divBdr>
                <w:top w:val="none" w:sz="0" w:space="0" w:color="auto"/>
                <w:left w:val="none" w:sz="0" w:space="0" w:color="auto"/>
                <w:bottom w:val="none" w:sz="0" w:space="0" w:color="auto"/>
                <w:right w:val="none" w:sz="0" w:space="0" w:color="auto"/>
              </w:divBdr>
              <w:divsChild>
                <w:div w:id="1990089261">
                  <w:marLeft w:val="0"/>
                  <w:marRight w:val="0"/>
                  <w:marTop w:val="0"/>
                  <w:marBottom w:val="0"/>
                  <w:divBdr>
                    <w:top w:val="none" w:sz="0" w:space="0" w:color="auto"/>
                    <w:left w:val="none" w:sz="0" w:space="0" w:color="auto"/>
                    <w:bottom w:val="none" w:sz="0" w:space="0" w:color="auto"/>
                    <w:right w:val="none" w:sz="0" w:space="0" w:color="auto"/>
                  </w:divBdr>
                  <w:divsChild>
                    <w:div w:id="1919290799">
                      <w:marLeft w:val="0"/>
                      <w:marRight w:val="5604"/>
                      <w:marTop w:val="0"/>
                      <w:marBottom w:val="0"/>
                      <w:divBdr>
                        <w:top w:val="none" w:sz="0" w:space="0" w:color="auto"/>
                        <w:left w:val="none" w:sz="0" w:space="0" w:color="auto"/>
                        <w:bottom w:val="none" w:sz="0" w:space="0" w:color="auto"/>
                        <w:right w:val="none" w:sz="0" w:space="0" w:color="auto"/>
                      </w:divBdr>
                      <w:divsChild>
                        <w:div w:id="710499227">
                          <w:marLeft w:val="0"/>
                          <w:marRight w:val="0"/>
                          <w:marTop w:val="0"/>
                          <w:marBottom w:val="0"/>
                          <w:divBdr>
                            <w:top w:val="none" w:sz="0" w:space="0" w:color="auto"/>
                            <w:left w:val="none" w:sz="0" w:space="0" w:color="auto"/>
                            <w:bottom w:val="none" w:sz="0" w:space="0" w:color="auto"/>
                            <w:right w:val="none" w:sz="0" w:space="0" w:color="auto"/>
                          </w:divBdr>
                          <w:divsChild>
                            <w:div w:id="2139254052">
                              <w:marLeft w:val="0"/>
                              <w:marRight w:val="0"/>
                              <w:marTop w:val="120"/>
                              <w:marBottom w:val="360"/>
                              <w:divBdr>
                                <w:top w:val="none" w:sz="0" w:space="0" w:color="auto"/>
                                <w:left w:val="none" w:sz="0" w:space="0" w:color="auto"/>
                                <w:bottom w:val="none" w:sz="0" w:space="0" w:color="auto"/>
                                <w:right w:val="none" w:sz="0" w:space="0" w:color="auto"/>
                              </w:divBdr>
                              <w:divsChild>
                                <w:div w:id="596206716">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169452">
      <w:bodyDiv w:val="1"/>
      <w:marLeft w:val="0"/>
      <w:marRight w:val="0"/>
      <w:marTop w:val="0"/>
      <w:marBottom w:val="0"/>
      <w:divBdr>
        <w:top w:val="none" w:sz="0" w:space="0" w:color="auto"/>
        <w:left w:val="none" w:sz="0" w:space="0" w:color="auto"/>
        <w:bottom w:val="none" w:sz="0" w:space="0" w:color="auto"/>
        <w:right w:val="none" w:sz="0" w:space="0" w:color="auto"/>
      </w:divBdr>
      <w:divsChild>
        <w:div w:id="110444804">
          <w:marLeft w:val="0"/>
          <w:marRight w:val="0"/>
          <w:marTop w:val="0"/>
          <w:marBottom w:val="0"/>
          <w:divBdr>
            <w:top w:val="none" w:sz="0" w:space="0" w:color="auto"/>
            <w:left w:val="none" w:sz="0" w:space="0" w:color="auto"/>
            <w:bottom w:val="none" w:sz="0" w:space="0" w:color="auto"/>
            <w:right w:val="none" w:sz="0" w:space="0" w:color="auto"/>
          </w:divBdr>
          <w:divsChild>
            <w:div w:id="1905918896">
              <w:marLeft w:val="0"/>
              <w:marRight w:val="0"/>
              <w:marTop w:val="0"/>
              <w:marBottom w:val="0"/>
              <w:divBdr>
                <w:top w:val="none" w:sz="0" w:space="0" w:color="auto"/>
                <w:left w:val="none" w:sz="0" w:space="0" w:color="auto"/>
                <w:bottom w:val="none" w:sz="0" w:space="0" w:color="auto"/>
                <w:right w:val="none" w:sz="0" w:space="0" w:color="auto"/>
              </w:divBdr>
              <w:divsChild>
                <w:div w:id="1767649146">
                  <w:marLeft w:val="0"/>
                  <w:marRight w:val="0"/>
                  <w:marTop w:val="0"/>
                  <w:marBottom w:val="0"/>
                  <w:divBdr>
                    <w:top w:val="none" w:sz="0" w:space="0" w:color="auto"/>
                    <w:left w:val="none" w:sz="0" w:space="0" w:color="auto"/>
                    <w:bottom w:val="none" w:sz="0" w:space="0" w:color="auto"/>
                    <w:right w:val="none" w:sz="0" w:space="0" w:color="auto"/>
                  </w:divBdr>
                  <w:divsChild>
                    <w:div w:id="959409482">
                      <w:marLeft w:val="0"/>
                      <w:marRight w:val="5604"/>
                      <w:marTop w:val="0"/>
                      <w:marBottom w:val="0"/>
                      <w:divBdr>
                        <w:top w:val="none" w:sz="0" w:space="0" w:color="auto"/>
                        <w:left w:val="none" w:sz="0" w:space="0" w:color="auto"/>
                        <w:bottom w:val="none" w:sz="0" w:space="0" w:color="auto"/>
                        <w:right w:val="none" w:sz="0" w:space="0" w:color="auto"/>
                      </w:divBdr>
                      <w:divsChild>
                        <w:div w:id="290596845">
                          <w:marLeft w:val="0"/>
                          <w:marRight w:val="0"/>
                          <w:marTop w:val="0"/>
                          <w:marBottom w:val="0"/>
                          <w:divBdr>
                            <w:top w:val="none" w:sz="0" w:space="0" w:color="auto"/>
                            <w:left w:val="none" w:sz="0" w:space="0" w:color="auto"/>
                            <w:bottom w:val="none" w:sz="0" w:space="0" w:color="auto"/>
                            <w:right w:val="none" w:sz="0" w:space="0" w:color="auto"/>
                          </w:divBdr>
                          <w:divsChild>
                            <w:div w:id="626394229">
                              <w:marLeft w:val="0"/>
                              <w:marRight w:val="0"/>
                              <w:marTop w:val="120"/>
                              <w:marBottom w:val="360"/>
                              <w:divBdr>
                                <w:top w:val="none" w:sz="0" w:space="0" w:color="auto"/>
                                <w:left w:val="none" w:sz="0" w:space="0" w:color="auto"/>
                                <w:bottom w:val="none" w:sz="0" w:space="0" w:color="auto"/>
                                <w:right w:val="none" w:sz="0" w:space="0" w:color="auto"/>
                              </w:divBdr>
                              <w:divsChild>
                                <w:div w:id="1911038395">
                                  <w:marLeft w:val="2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92868">
      <w:bodyDiv w:val="1"/>
      <w:marLeft w:val="0"/>
      <w:marRight w:val="0"/>
      <w:marTop w:val="0"/>
      <w:marBottom w:val="0"/>
      <w:divBdr>
        <w:top w:val="none" w:sz="0" w:space="0" w:color="auto"/>
        <w:left w:val="none" w:sz="0" w:space="0" w:color="auto"/>
        <w:bottom w:val="none" w:sz="0" w:space="0" w:color="auto"/>
        <w:right w:val="none" w:sz="0" w:space="0" w:color="auto"/>
      </w:divBdr>
      <w:divsChild>
        <w:div w:id="1394233632">
          <w:marLeft w:val="0"/>
          <w:marRight w:val="0"/>
          <w:marTop w:val="0"/>
          <w:marBottom w:val="0"/>
          <w:divBdr>
            <w:top w:val="none" w:sz="0" w:space="0" w:color="auto"/>
            <w:left w:val="none" w:sz="0" w:space="0" w:color="auto"/>
            <w:bottom w:val="none" w:sz="0" w:space="0" w:color="auto"/>
            <w:right w:val="none" w:sz="0" w:space="0" w:color="auto"/>
          </w:divBdr>
          <w:divsChild>
            <w:div w:id="438068964">
              <w:marLeft w:val="0"/>
              <w:marRight w:val="0"/>
              <w:marTop w:val="0"/>
              <w:marBottom w:val="0"/>
              <w:divBdr>
                <w:top w:val="none" w:sz="0" w:space="0" w:color="auto"/>
                <w:left w:val="none" w:sz="0" w:space="0" w:color="auto"/>
                <w:bottom w:val="none" w:sz="0" w:space="0" w:color="auto"/>
                <w:right w:val="none" w:sz="0" w:space="0" w:color="auto"/>
              </w:divBdr>
              <w:divsChild>
                <w:div w:id="509608227">
                  <w:marLeft w:val="0"/>
                  <w:marRight w:val="0"/>
                  <w:marTop w:val="0"/>
                  <w:marBottom w:val="0"/>
                  <w:divBdr>
                    <w:top w:val="none" w:sz="0" w:space="0" w:color="auto"/>
                    <w:left w:val="none" w:sz="0" w:space="0" w:color="auto"/>
                    <w:bottom w:val="none" w:sz="0" w:space="0" w:color="auto"/>
                    <w:right w:val="none" w:sz="0" w:space="0" w:color="auto"/>
                  </w:divBdr>
                  <w:divsChild>
                    <w:div w:id="2046757189">
                      <w:marLeft w:val="0"/>
                      <w:marRight w:val="5604"/>
                      <w:marTop w:val="0"/>
                      <w:marBottom w:val="0"/>
                      <w:divBdr>
                        <w:top w:val="none" w:sz="0" w:space="0" w:color="auto"/>
                        <w:left w:val="none" w:sz="0" w:space="0" w:color="auto"/>
                        <w:bottom w:val="none" w:sz="0" w:space="0" w:color="auto"/>
                        <w:right w:val="none" w:sz="0" w:space="0" w:color="auto"/>
                      </w:divBdr>
                      <w:divsChild>
                        <w:div w:id="878317018">
                          <w:marLeft w:val="0"/>
                          <w:marRight w:val="0"/>
                          <w:marTop w:val="0"/>
                          <w:marBottom w:val="0"/>
                          <w:divBdr>
                            <w:top w:val="none" w:sz="0" w:space="0" w:color="auto"/>
                            <w:left w:val="none" w:sz="0" w:space="0" w:color="auto"/>
                            <w:bottom w:val="none" w:sz="0" w:space="0" w:color="auto"/>
                            <w:right w:val="none" w:sz="0" w:space="0" w:color="auto"/>
                          </w:divBdr>
                          <w:divsChild>
                            <w:div w:id="133557563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37910">
      <w:bodyDiv w:val="1"/>
      <w:marLeft w:val="0"/>
      <w:marRight w:val="0"/>
      <w:marTop w:val="0"/>
      <w:marBottom w:val="0"/>
      <w:divBdr>
        <w:top w:val="none" w:sz="0" w:space="0" w:color="auto"/>
        <w:left w:val="none" w:sz="0" w:space="0" w:color="auto"/>
        <w:bottom w:val="none" w:sz="0" w:space="0" w:color="auto"/>
        <w:right w:val="none" w:sz="0" w:space="0" w:color="auto"/>
      </w:divBdr>
      <w:divsChild>
        <w:div w:id="203566780">
          <w:marLeft w:val="0"/>
          <w:marRight w:val="0"/>
          <w:marTop w:val="0"/>
          <w:marBottom w:val="0"/>
          <w:divBdr>
            <w:top w:val="none" w:sz="0" w:space="0" w:color="auto"/>
            <w:left w:val="none" w:sz="0" w:space="0" w:color="auto"/>
            <w:bottom w:val="none" w:sz="0" w:space="0" w:color="auto"/>
            <w:right w:val="none" w:sz="0" w:space="0" w:color="auto"/>
          </w:divBdr>
          <w:divsChild>
            <w:div w:id="1334529009">
              <w:marLeft w:val="0"/>
              <w:marRight w:val="0"/>
              <w:marTop w:val="0"/>
              <w:marBottom w:val="0"/>
              <w:divBdr>
                <w:top w:val="none" w:sz="0" w:space="0" w:color="auto"/>
                <w:left w:val="none" w:sz="0" w:space="0" w:color="auto"/>
                <w:bottom w:val="none" w:sz="0" w:space="0" w:color="auto"/>
                <w:right w:val="none" w:sz="0" w:space="0" w:color="auto"/>
              </w:divBdr>
              <w:divsChild>
                <w:div w:id="1474832639">
                  <w:marLeft w:val="0"/>
                  <w:marRight w:val="-6084"/>
                  <w:marTop w:val="0"/>
                  <w:marBottom w:val="0"/>
                  <w:divBdr>
                    <w:top w:val="none" w:sz="0" w:space="0" w:color="auto"/>
                    <w:left w:val="none" w:sz="0" w:space="0" w:color="auto"/>
                    <w:bottom w:val="none" w:sz="0" w:space="0" w:color="auto"/>
                    <w:right w:val="none" w:sz="0" w:space="0" w:color="auto"/>
                  </w:divBdr>
                  <w:divsChild>
                    <w:div w:id="1049113829">
                      <w:marLeft w:val="0"/>
                      <w:marRight w:val="5604"/>
                      <w:marTop w:val="0"/>
                      <w:marBottom w:val="0"/>
                      <w:divBdr>
                        <w:top w:val="none" w:sz="0" w:space="0" w:color="auto"/>
                        <w:left w:val="none" w:sz="0" w:space="0" w:color="auto"/>
                        <w:bottom w:val="none" w:sz="0" w:space="0" w:color="auto"/>
                        <w:right w:val="none" w:sz="0" w:space="0" w:color="auto"/>
                      </w:divBdr>
                      <w:divsChild>
                        <w:div w:id="1099108578">
                          <w:marLeft w:val="0"/>
                          <w:marRight w:val="0"/>
                          <w:marTop w:val="0"/>
                          <w:marBottom w:val="0"/>
                          <w:divBdr>
                            <w:top w:val="none" w:sz="0" w:space="0" w:color="auto"/>
                            <w:left w:val="none" w:sz="0" w:space="0" w:color="auto"/>
                            <w:bottom w:val="none" w:sz="0" w:space="0" w:color="auto"/>
                            <w:right w:val="none" w:sz="0" w:space="0" w:color="auto"/>
                          </w:divBdr>
                          <w:divsChild>
                            <w:div w:id="14422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41472">
      <w:bodyDiv w:val="1"/>
      <w:marLeft w:val="0"/>
      <w:marRight w:val="0"/>
      <w:marTop w:val="0"/>
      <w:marBottom w:val="0"/>
      <w:divBdr>
        <w:top w:val="none" w:sz="0" w:space="0" w:color="auto"/>
        <w:left w:val="none" w:sz="0" w:space="0" w:color="auto"/>
        <w:bottom w:val="none" w:sz="0" w:space="0" w:color="auto"/>
        <w:right w:val="none" w:sz="0" w:space="0" w:color="auto"/>
      </w:divBdr>
      <w:divsChild>
        <w:div w:id="321202188">
          <w:marLeft w:val="0"/>
          <w:marRight w:val="0"/>
          <w:marTop w:val="0"/>
          <w:marBottom w:val="0"/>
          <w:divBdr>
            <w:top w:val="none" w:sz="0" w:space="0" w:color="auto"/>
            <w:left w:val="none" w:sz="0" w:space="0" w:color="auto"/>
            <w:bottom w:val="none" w:sz="0" w:space="0" w:color="auto"/>
            <w:right w:val="none" w:sz="0" w:space="0" w:color="auto"/>
          </w:divBdr>
          <w:divsChild>
            <w:div w:id="486173674">
              <w:marLeft w:val="0"/>
              <w:marRight w:val="0"/>
              <w:marTop w:val="0"/>
              <w:marBottom w:val="0"/>
              <w:divBdr>
                <w:top w:val="none" w:sz="0" w:space="0" w:color="auto"/>
                <w:left w:val="none" w:sz="0" w:space="0" w:color="auto"/>
                <w:bottom w:val="none" w:sz="0" w:space="0" w:color="auto"/>
                <w:right w:val="none" w:sz="0" w:space="0" w:color="auto"/>
              </w:divBdr>
              <w:divsChild>
                <w:div w:id="1038166723">
                  <w:marLeft w:val="0"/>
                  <w:marRight w:val="0"/>
                  <w:marTop w:val="0"/>
                  <w:marBottom w:val="0"/>
                  <w:divBdr>
                    <w:top w:val="none" w:sz="0" w:space="0" w:color="auto"/>
                    <w:left w:val="none" w:sz="0" w:space="0" w:color="auto"/>
                    <w:bottom w:val="none" w:sz="0" w:space="0" w:color="auto"/>
                    <w:right w:val="none" w:sz="0" w:space="0" w:color="auto"/>
                  </w:divBdr>
                  <w:divsChild>
                    <w:div w:id="866219154">
                      <w:marLeft w:val="0"/>
                      <w:marRight w:val="5604"/>
                      <w:marTop w:val="0"/>
                      <w:marBottom w:val="0"/>
                      <w:divBdr>
                        <w:top w:val="none" w:sz="0" w:space="0" w:color="auto"/>
                        <w:left w:val="none" w:sz="0" w:space="0" w:color="auto"/>
                        <w:bottom w:val="none" w:sz="0" w:space="0" w:color="auto"/>
                        <w:right w:val="none" w:sz="0" w:space="0" w:color="auto"/>
                      </w:divBdr>
                      <w:divsChild>
                        <w:div w:id="1110781843">
                          <w:marLeft w:val="0"/>
                          <w:marRight w:val="0"/>
                          <w:marTop w:val="0"/>
                          <w:marBottom w:val="0"/>
                          <w:divBdr>
                            <w:top w:val="none" w:sz="0" w:space="0" w:color="auto"/>
                            <w:left w:val="none" w:sz="0" w:space="0" w:color="auto"/>
                            <w:bottom w:val="none" w:sz="0" w:space="0" w:color="auto"/>
                            <w:right w:val="none" w:sz="0" w:space="0" w:color="auto"/>
                          </w:divBdr>
                          <w:divsChild>
                            <w:div w:id="52471202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012487">
      <w:bodyDiv w:val="1"/>
      <w:marLeft w:val="0"/>
      <w:marRight w:val="0"/>
      <w:marTop w:val="0"/>
      <w:marBottom w:val="0"/>
      <w:divBdr>
        <w:top w:val="none" w:sz="0" w:space="0" w:color="auto"/>
        <w:left w:val="none" w:sz="0" w:space="0" w:color="auto"/>
        <w:bottom w:val="none" w:sz="0" w:space="0" w:color="auto"/>
        <w:right w:val="none" w:sz="0" w:space="0" w:color="auto"/>
      </w:divBdr>
      <w:divsChild>
        <w:div w:id="1447770616">
          <w:marLeft w:val="0"/>
          <w:marRight w:val="0"/>
          <w:marTop w:val="0"/>
          <w:marBottom w:val="0"/>
          <w:divBdr>
            <w:top w:val="none" w:sz="0" w:space="0" w:color="auto"/>
            <w:left w:val="none" w:sz="0" w:space="0" w:color="auto"/>
            <w:bottom w:val="none" w:sz="0" w:space="0" w:color="auto"/>
            <w:right w:val="none" w:sz="0" w:space="0" w:color="auto"/>
          </w:divBdr>
          <w:divsChild>
            <w:div w:id="1568956208">
              <w:marLeft w:val="0"/>
              <w:marRight w:val="0"/>
              <w:marTop w:val="0"/>
              <w:marBottom w:val="0"/>
              <w:divBdr>
                <w:top w:val="none" w:sz="0" w:space="0" w:color="auto"/>
                <w:left w:val="none" w:sz="0" w:space="0" w:color="auto"/>
                <w:bottom w:val="none" w:sz="0" w:space="0" w:color="auto"/>
                <w:right w:val="none" w:sz="0" w:space="0" w:color="auto"/>
              </w:divBdr>
              <w:divsChild>
                <w:div w:id="850919897">
                  <w:marLeft w:val="0"/>
                  <w:marRight w:val="0"/>
                  <w:marTop w:val="0"/>
                  <w:marBottom w:val="0"/>
                  <w:divBdr>
                    <w:top w:val="none" w:sz="0" w:space="0" w:color="auto"/>
                    <w:left w:val="none" w:sz="0" w:space="0" w:color="auto"/>
                    <w:bottom w:val="none" w:sz="0" w:space="0" w:color="auto"/>
                    <w:right w:val="none" w:sz="0" w:space="0" w:color="auto"/>
                  </w:divBdr>
                  <w:divsChild>
                    <w:div w:id="1511945005">
                      <w:marLeft w:val="0"/>
                      <w:marRight w:val="5604"/>
                      <w:marTop w:val="0"/>
                      <w:marBottom w:val="0"/>
                      <w:divBdr>
                        <w:top w:val="none" w:sz="0" w:space="0" w:color="auto"/>
                        <w:left w:val="none" w:sz="0" w:space="0" w:color="auto"/>
                        <w:bottom w:val="none" w:sz="0" w:space="0" w:color="auto"/>
                        <w:right w:val="none" w:sz="0" w:space="0" w:color="auto"/>
                      </w:divBdr>
                      <w:divsChild>
                        <w:div w:id="748501732">
                          <w:marLeft w:val="0"/>
                          <w:marRight w:val="0"/>
                          <w:marTop w:val="0"/>
                          <w:marBottom w:val="0"/>
                          <w:divBdr>
                            <w:top w:val="none" w:sz="0" w:space="0" w:color="auto"/>
                            <w:left w:val="none" w:sz="0" w:space="0" w:color="auto"/>
                            <w:bottom w:val="none" w:sz="0" w:space="0" w:color="auto"/>
                            <w:right w:val="none" w:sz="0" w:space="0" w:color="auto"/>
                          </w:divBdr>
                          <w:divsChild>
                            <w:div w:id="213401169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ugdayci@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term=%22Azevedo%20I%22%5BAuthor%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Monteiro%20R%22%5BAuthor%5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cbi.nlm.nih.gov/pubmed/20464341" TargetMode="External"/><Relationship Id="rId4" Type="http://schemas.openxmlformats.org/officeDocument/2006/relationships/settings" Target="settings.xml"/><Relationship Id="rId9" Type="http://schemas.openxmlformats.org/officeDocument/2006/relationships/hyperlink" Target="mailto:gbugdayci@ibu.edu.tr"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A907-17DA-4E76-8298-0E5503B4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4590</Words>
  <Characters>26166</Characters>
  <Application>Microsoft Office Word</Application>
  <DocSecurity>0</DocSecurity>
  <Lines>218</Lines>
  <Paragraphs>61</Paragraphs>
  <ScaleCrop>false</ScaleCrop>
  <HeadingPairs>
    <vt:vector size="2" baseType="variant">
      <vt:variant>
        <vt:lpstr>Konu Başlığı</vt:lpstr>
      </vt:variant>
      <vt:variant>
        <vt:i4>1</vt:i4>
      </vt:variant>
    </vt:vector>
  </HeadingPairs>
  <TitlesOfParts>
    <vt:vector size="1" baseType="lpstr">
      <vt:lpstr>1</vt:lpstr>
    </vt:vector>
  </TitlesOfParts>
  <Company>Hewlett-Packard Company</Company>
  <LinksUpToDate>false</LinksUpToDate>
  <CharactersWithSpaces>30695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xp</dc:creator>
  <cp:lastModifiedBy>admin</cp:lastModifiedBy>
  <cp:revision>4</cp:revision>
  <cp:lastPrinted>2011-05-12T12:18:00Z</cp:lastPrinted>
  <dcterms:created xsi:type="dcterms:W3CDTF">2014-02-06T11:33:00Z</dcterms:created>
  <dcterms:modified xsi:type="dcterms:W3CDTF">2014-02-06T11:45:00Z</dcterms:modified>
</cp:coreProperties>
</file>