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2A1" w:rsidRPr="00D23A43" w:rsidRDefault="002C42A1" w:rsidP="002C42A1">
      <w:pPr>
        <w:pStyle w:val="Selamlama"/>
        <w:spacing w:line="360" w:lineRule="auto"/>
        <w:jc w:val="both"/>
        <w:rPr>
          <w:rFonts w:ascii="Times New Roman" w:hAnsi="Times New Roman"/>
          <w:sz w:val="24"/>
          <w:szCs w:val="24"/>
          <w:lang w:val="en-US"/>
        </w:rPr>
      </w:pPr>
      <w:r w:rsidRPr="00D23A43">
        <w:rPr>
          <w:rFonts w:ascii="Times New Roman" w:hAnsi="Times New Roman"/>
          <w:sz w:val="24"/>
          <w:szCs w:val="24"/>
          <w:lang w:val="en-US"/>
        </w:rPr>
        <w:t xml:space="preserve">Dear Dr. </w:t>
      </w:r>
      <w:proofErr w:type="spellStart"/>
      <w:r w:rsidRPr="00D23A43">
        <w:rPr>
          <w:rFonts w:ascii="Times New Roman" w:hAnsi="Times New Roman"/>
          <w:sz w:val="24"/>
          <w:szCs w:val="24"/>
          <w:lang w:val="en-US"/>
        </w:rPr>
        <w:t>Çimen</w:t>
      </w:r>
      <w:proofErr w:type="spellEnd"/>
      <w:r w:rsidRPr="00D23A43">
        <w:rPr>
          <w:rFonts w:ascii="Times New Roman" w:hAnsi="Times New Roman"/>
          <w:sz w:val="24"/>
          <w:szCs w:val="24"/>
          <w:lang w:val="en-US"/>
        </w:rPr>
        <w:t>,</w:t>
      </w:r>
    </w:p>
    <w:p w:rsidR="00147806" w:rsidRPr="00D23A43" w:rsidRDefault="00147806" w:rsidP="00147806">
      <w:pPr>
        <w:rPr>
          <w:rFonts w:ascii="Times New Roman" w:eastAsia="Times New Roman" w:hAnsi="Times New Roman" w:cs="Times New Roman"/>
          <w:sz w:val="24"/>
          <w:szCs w:val="24"/>
          <w:lang w:val="en-US"/>
        </w:rPr>
      </w:pPr>
      <w:r w:rsidRPr="00D23A43">
        <w:rPr>
          <w:rFonts w:ascii="Times New Roman" w:eastAsia="Times New Roman" w:hAnsi="Times New Roman" w:cs="Times New Roman"/>
          <w:sz w:val="24"/>
          <w:szCs w:val="24"/>
          <w:lang w:val="en-US"/>
        </w:rPr>
        <w:t xml:space="preserve">Enclosed please find the revised version of manuscript </w:t>
      </w:r>
      <w:r w:rsidRPr="00D23A43">
        <w:rPr>
          <w:rFonts w:ascii="Times New Roman" w:hAnsi="Times New Roman" w:cs="Times New Roman"/>
          <w:sz w:val="24"/>
          <w:szCs w:val="24"/>
          <w:lang w:val="en-US"/>
        </w:rPr>
        <w:t>"</w:t>
      </w:r>
      <w:r>
        <w:rPr>
          <w:b/>
          <w:lang w:val="en-US"/>
        </w:rPr>
        <w:t>OPG-</w:t>
      </w:r>
      <w:r>
        <w:rPr>
          <w:b/>
          <w:color w:val="000000"/>
          <w:lang w:val="en-US"/>
        </w:rPr>
        <w:t>RANKL</w:t>
      </w:r>
      <w:r w:rsidRPr="00C670F4">
        <w:rPr>
          <w:b/>
          <w:lang w:val="en-US"/>
        </w:rPr>
        <w:t xml:space="preserve">Levels </w:t>
      </w:r>
      <w:r>
        <w:rPr>
          <w:b/>
          <w:lang w:val="en-US"/>
        </w:rPr>
        <w:t xml:space="preserve">after Continuous </w:t>
      </w:r>
      <w:r w:rsidRPr="00C670F4">
        <w:rPr>
          <w:b/>
          <w:lang w:val="en-US"/>
        </w:rPr>
        <w:t>Orthodontic Force</w:t>
      </w:r>
      <w:r w:rsidRPr="00D23A43">
        <w:rPr>
          <w:rFonts w:ascii="Times New Roman" w:hAnsi="Times New Roman" w:cs="Times New Roman"/>
          <w:sz w:val="24"/>
          <w:szCs w:val="24"/>
          <w:lang w:val="en-US"/>
        </w:rPr>
        <w:t>".</w:t>
      </w:r>
    </w:p>
    <w:p w:rsidR="00147806" w:rsidRPr="00D23A43" w:rsidRDefault="00147806" w:rsidP="00147806">
      <w:pPr>
        <w:spacing w:line="360" w:lineRule="auto"/>
        <w:jc w:val="both"/>
        <w:rPr>
          <w:rFonts w:ascii="Times New Roman" w:eastAsia="Times New Roman" w:hAnsi="Times New Roman" w:cs="Times New Roman"/>
          <w:sz w:val="24"/>
          <w:szCs w:val="24"/>
          <w:lang w:val="en-US"/>
        </w:rPr>
      </w:pPr>
      <w:r w:rsidRPr="00D23A43">
        <w:rPr>
          <w:rFonts w:ascii="Times New Roman" w:eastAsia="Times New Roman" w:hAnsi="Times New Roman" w:cs="Times New Roman"/>
          <w:sz w:val="24"/>
          <w:szCs w:val="24"/>
          <w:lang w:val="en-US"/>
        </w:rPr>
        <w:t>Thank you for having reviewed the manuscript. We are also grateful to referees for constructive criticism and for their suggestions.Amendments made in the enclosed revision have been hi</w:t>
      </w:r>
      <w:r>
        <w:rPr>
          <w:rFonts w:ascii="Times New Roman" w:eastAsia="Times New Roman" w:hAnsi="Times New Roman" w:cs="Times New Roman"/>
          <w:sz w:val="24"/>
          <w:szCs w:val="24"/>
          <w:lang w:val="en-US"/>
        </w:rPr>
        <w:t xml:space="preserve">ghlighted by red colored text. </w:t>
      </w:r>
      <w:r w:rsidRPr="00D23A43">
        <w:rPr>
          <w:rFonts w:ascii="Times New Roman" w:eastAsia="Times New Roman" w:hAnsi="Times New Roman" w:cs="Times New Roman"/>
          <w:sz w:val="24"/>
          <w:szCs w:val="24"/>
          <w:lang w:val="en-US"/>
        </w:rPr>
        <w:t>Replies for comments of the reviewers and changes in the manuscript are explained in detail below.</w:t>
      </w:r>
    </w:p>
    <w:p w:rsidR="00147806" w:rsidRPr="00D23A43" w:rsidRDefault="00147806" w:rsidP="00147806">
      <w:pPr>
        <w:spacing w:line="360" w:lineRule="auto"/>
        <w:jc w:val="both"/>
        <w:rPr>
          <w:rFonts w:ascii="Times New Roman" w:eastAsia="Times New Roman" w:hAnsi="Times New Roman" w:cs="Times New Roman"/>
          <w:sz w:val="24"/>
          <w:szCs w:val="24"/>
          <w:lang w:val="en-US"/>
        </w:rPr>
      </w:pPr>
      <w:r w:rsidRPr="00D23A43">
        <w:rPr>
          <w:rFonts w:ascii="Times New Roman" w:eastAsia="Times New Roman" w:hAnsi="Times New Roman" w:cs="Times New Roman"/>
          <w:sz w:val="24"/>
          <w:szCs w:val="24"/>
          <w:lang w:val="en-US"/>
        </w:rPr>
        <w:t xml:space="preserve"> We hope that the revisions carried out now qualify for publication of our article in your distinguished journal.</w:t>
      </w:r>
    </w:p>
    <w:p w:rsidR="00147806" w:rsidRPr="00D23A43" w:rsidRDefault="00147806" w:rsidP="00147806">
      <w:pPr>
        <w:spacing w:line="360" w:lineRule="auto"/>
        <w:rPr>
          <w:rFonts w:ascii="Times New Roman" w:eastAsia="Times New Roman" w:hAnsi="Times New Roman" w:cs="Times New Roman"/>
          <w:sz w:val="24"/>
          <w:szCs w:val="24"/>
          <w:lang w:val="en-US"/>
        </w:rPr>
      </w:pPr>
      <w:r w:rsidRPr="00D23A43">
        <w:rPr>
          <w:rFonts w:ascii="Times New Roman" w:eastAsia="Times New Roman" w:hAnsi="Times New Roman" w:cs="Times New Roman"/>
          <w:sz w:val="24"/>
          <w:szCs w:val="24"/>
          <w:lang w:val="en-US"/>
        </w:rPr>
        <w:t>Sincerely,</w:t>
      </w:r>
    </w:p>
    <w:p w:rsidR="00147806" w:rsidRPr="00D23A43" w:rsidRDefault="00147806" w:rsidP="00147806">
      <w:pPr>
        <w:spacing w:line="360" w:lineRule="auto"/>
        <w:rPr>
          <w:rFonts w:ascii="Times New Roman" w:hAnsi="Times New Roman" w:cs="Times New Roman"/>
          <w:sz w:val="24"/>
          <w:szCs w:val="24"/>
          <w:lang w:val="en-US"/>
        </w:rPr>
      </w:pPr>
      <w:proofErr w:type="spellStart"/>
      <w:r w:rsidRPr="00D23A43">
        <w:rPr>
          <w:rFonts w:ascii="Times New Roman" w:hAnsi="Times New Roman" w:cs="Times New Roman"/>
          <w:b/>
          <w:sz w:val="24"/>
          <w:szCs w:val="24"/>
          <w:lang w:val="en-US"/>
        </w:rPr>
        <w:t>Doç.Dr</w:t>
      </w:r>
      <w:proofErr w:type="spellEnd"/>
      <w:r w:rsidRPr="00D23A43">
        <w:rPr>
          <w:rFonts w:ascii="Times New Roman" w:hAnsi="Times New Roman" w:cs="Times New Roman"/>
          <w:b/>
          <w:sz w:val="24"/>
          <w:szCs w:val="24"/>
          <w:lang w:val="en-US"/>
        </w:rPr>
        <w:t xml:space="preserve">. </w:t>
      </w:r>
      <w:proofErr w:type="spellStart"/>
      <w:r w:rsidRPr="00D23A43">
        <w:rPr>
          <w:rFonts w:ascii="Times New Roman" w:hAnsi="Times New Roman" w:cs="Times New Roman"/>
          <w:b/>
          <w:sz w:val="24"/>
          <w:szCs w:val="24"/>
          <w:lang w:val="en-US"/>
        </w:rPr>
        <w:t>Burcu</w:t>
      </w:r>
      <w:proofErr w:type="spellEnd"/>
      <w:r w:rsidRPr="00D23A43">
        <w:rPr>
          <w:rFonts w:ascii="Times New Roman" w:hAnsi="Times New Roman" w:cs="Times New Roman"/>
          <w:b/>
          <w:sz w:val="24"/>
          <w:szCs w:val="24"/>
          <w:lang w:val="en-US"/>
        </w:rPr>
        <w:t xml:space="preserve"> </w:t>
      </w:r>
      <w:proofErr w:type="spellStart"/>
      <w:r w:rsidRPr="00D23A43">
        <w:rPr>
          <w:rFonts w:ascii="Times New Roman" w:hAnsi="Times New Roman" w:cs="Times New Roman"/>
          <w:b/>
          <w:sz w:val="24"/>
          <w:szCs w:val="24"/>
          <w:lang w:val="en-US"/>
        </w:rPr>
        <w:t>Baloş</w:t>
      </w:r>
      <w:proofErr w:type="spellEnd"/>
      <w:r w:rsidRPr="00D23A43">
        <w:rPr>
          <w:rFonts w:ascii="Times New Roman" w:hAnsi="Times New Roman" w:cs="Times New Roman"/>
          <w:b/>
          <w:sz w:val="24"/>
          <w:szCs w:val="24"/>
          <w:lang w:val="en-US"/>
        </w:rPr>
        <w:t xml:space="preserve"> </w:t>
      </w:r>
      <w:proofErr w:type="spellStart"/>
      <w:r w:rsidRPr="00D23A43">
        <w:rPr>
          <w:rFonts w:ascii="Times New Roman" w:hAnsi="Times New Roman" w:cs="Times New Roman"/>
          <w:b/>
          <w:sz w:val="24"/>
          <w:szCs w:val="24"/>
          <w:lang w:val="en-US"/>
        </w:rPr>
        <w:t>Tuncer</w:t>
      </w:r>
      <w:proofErr w:type="spellEnd"/>
    </w:p>
    <w:p w:rsidR="002C42A1" w:rsidRPr="00D23A43" w:rsidRDefault="002C42A1" w:rsidP="00843BE1">
      <w:pPr>
        <w:rPr>
          <w:rFonts w:ascii="Times New Roman" w:hAnsi="Times New Roman" w:cs="Times New Roman"/>
          <w:color w:val="000000"/>
          <w:sz w:val="24"/>
          <w:szCs w:val="24"/>
          <w:lang w:val="en-US"/>
        </w:rPr>
      </w:pPr>
      <w:r w:rsidRPr="00D23A43">
        <w:rPr>
          <w:rFonts w:ascii="Times New Roman" w:hAnsi="Times New Roman" w:cs="Times New Roman"/>
          <w:color w:val="000000"/>
          <w:sz w:val="24"/>
          <w:szCs w:val="24"/>
          <w:lang w:val="en-US"/>
        </w:rPr>
        <w:br/>
      </w:r>
      <w:r w:rsidRPr="00D23A43">
        <w:rPr>
          <w:rFonts w:ascii="Times New Roman" w:hAnsi="Times New Roman" w:cs="Times New Roman"/>
          <w:b/>
          <w:color w:val="000000"/>
          <w:sz w:val="24"/>
          <w:szCs w:val="24"/>
          <w:lang w:val="en-US"/>
        </w:rPr>
        <w:t>Reviewer 1.</w:t>
      </w:r>
    </w:p>
    <w:p w:rsidR="005A6F76" w:rsidRPr="005A6F76" w:rsidRDefault="00147806" w:rsidP="00147806">
      <w:pPr>
        <w:pStyle w:val="GvdeMetniGirintisi2"/>
        <w:ind w:left="0"/>
        <w:rPr>
          <w:color w:val="FF0000"/>
          <w:sz w:val="24"/>
          <w:szCs w:val="24"/>
          <w:lang w:val="en-US"/>
        </w:rPr>
      </w:pPr>
      <w:r>
        <w:rPr>
          <w:color w:val="000000"/>
          <w:sz w:val="24"/>
          <w:szCs w:val="24"/>
          <w:lang w:val="en-US"/>
        </w:rPr>
        <w:t>1-</w:t>
      </w:r>
      <w:r w:rsidR="002C42A1" w:rsidRPr="00D23A43">
        <w:rPr>
          <w:color w:val="000000"/>
          <w:sz w:val="24"/>
          <w:szCs w:val="24"/>
          <w:lang w:val="en-US"/>
        </w:rPr>
        <w:t xml:space="preserve">A few typo </w:t>
      </w:r>
      <w:proofErr w:type="spellStart"/>
      <w:r w:rsidR="002C42A1" w:rsidRPr="00D23A43">
        <w:rPr>
          <w:color w:val="000000"/>
          <w:sz w:val="24"/>
          <w:szCs w:val="24"/>
          <w:lang w:val="en-US"/>
        </w:rPr>
        <w:t>errors:Abstract</w:t>
      </w:r>
      <w:proofErr w:type="spellEnd"/>
      <w:r w:rsidR="002C42A1" w:rsidRPr="00D23A43">
        <w:rPr>
          <w:color w:val="000000"/>
          <w:sz w:val="24"/>
          <w:szCs w:val="24"/>
          <w:lang w:val="en-US"/>
        </w:rPr>
        <w:t xml:space="preserve"> in </w:t>
      </w:r>
      <w:proofErr w:type="spellStart"/>
      <w:r w:rsidR="002C42A1" w:rsidRPr="00D23A43">
        <w:rPr>
          <w:color w:val="000000"/>
          <w:sz w:val="24"/>
          <w:szCs w:val="24"/>
          <w:lang w:val="en-US"/>
        </w:rPr>
        <w:t>turkish</w:t>
      </w:r>
      <w:proofErr w:type="spellEnd"/>
      <w:r w:rsidR="002C42A1" w:rsidRPr="00D23A43">
        <w:rPr>
          <w:color w:val="000000"/>
          <w:sz w:val="24"/>
          <w:szCs w:val="24"/>
          <w:lang w:val="en-US"/>
        </w:rPr>
        <w:t xml:space="preserve">, line 9 “sonar” should be </w:t>
      </w:r>
      <w:proofErr w:type="spellStart"/>
      <w:r w:rsidR="002C42A1" w:rsidRPr="00D23A43">
        <w:rPr>
          <w:color w:val="000000"/>
          <w:sz w:val="24"/>
          <w:szCs w:val="24"/>
          <w:lang w:val="en-US"/>
        </w:rPr>
        <w:t>sonra</w:t>
      </w:r>
      <w:proofErr w:type="spellEnd"/>
      <w:r w:rsidR="002C42A1" w:rsidRPr="00D23A43">
        <w:rPr>
          <w:color w:val="000000"/>
          <w:sz w:val="24"/>
          <w:szCs w:val="24"/>
          <w:lang w:val="en-US"/>
        </w:rPr>
        <w:br/>
      </w:r>
      <w:r>
        <w:rPr>
          <w:color w:val="000000"/>
          <w:sz w:val="24"/>
          <w:szCs w:val="24"/>
          <w:lang w:val="en-US"/>
        </w:rPr>
        <w:t>2-</w:t>
      </w:r>
      <w:r w:rsidR="002C42A1" w:rsidRPr="00D23A43">
        <w:rPr>
          <w:color w:val="000000"/>
          <w:sz w:val="24"/>
          <w:szCs w:val="24"/>
          <w:lang w:val="en-US"/>
        </w:rPr>
        <w:t>Introduction part, 3rd paragraph: consider changing tense: “Recent studies</w:t>
      </w:r>
      <w:r w:rsidR="002C42A1" w:rsidRPr="00D23A43">
        <w:rPr>
          <w:color w:val="000000"/>
          <w:sz w:val="24"/>
          <w:szCs w:val="24"/>
          <w:lang w:val="en-US"/>
        </w:rPr>
        <w:br/>
        <w:t>have focused...”</w:t>
      </w:r>
      <w:r w:rsidR="002C42A1" w:rsidRPr="00D23A43">
        <w:rPr>
          <w:color w:val="000000"/>
          <w:sz w:val="24"/>
          <w:szCs w:val="24"/>
          <w:lang w:val="en-US"/>
        </w:rPr>
        <w:br/>
      </w:r>
      <w:r>
        <w:rPr>
          <w:color w:val="000000"/>
          <w:sz w:val="24"/>
          <w:szCs w:val="24"/>
          <w:lang w:val="en-US"/>
        </w:rPr>
        <w:t>3-</w:t>
      </w:r>
      <w:r w:rsidR="002C42A1" w:rsidRPr="00D23A43">
        <w:rPr>
          <w:color w:val="000000"/>
          <w:sz w:val="24"/>
          <w:szCs w:val="24"/>
          <w:lang w:val="en-US"/>
        </w:rPr>
        <w:t>Material and Methods part, GCF sampling paragraph, line 10-11 should be</w:t>
      </w:r>
      <w:r w:rsidR="002C42A1" w:rsidRPr="00D23A43">
        <w:rPr>
          <w:color w:val="000000"/>
          <w:sz w:val="24"/>
          <w:szCs w:val="24"/>
          <w:lang w:val="en-US"/>
        </w:rPr>
        <w:br/>
        <w:t>“</w:t>
      </w:r>
      <w:proofErr w:type="spellStart"/>
      <w:r w:rsidR="002C42A1" w:rsidRPr="00D23A43">
        <w:rPr>
          <w:color w:val="000000"/>
          <w:sz w:val="24"/>
          <w:szCs w:val="24"/>
          <w:lang w:val="en-US"/>
        </w:rPr>
        <w:t>Precisa</w:t>
      </w:r>
      <w:proofErr w:type="spellEnd"/>
      <w:r w:rsidR="002C42A1" w:rsidRPr="00D23A43">
        <w:rPr>
          <w:color w:val="000000"/>
          <w:sz w:val="24"/>
          <w:szCs w:val="24"/>
          <w:lang w:val="en-US"/>
        </w:rPr>
        <w:t xml:space="preserve"> instruments Ag,...”</w:t>
      </w:r>
      <w:r w:rsidR="002C42A1" w:rsidRPr="00D23A43">
        <w:rPr>
          <w:color w:val="000000"/>
          <w:sz w:val="24"/>
          <w:szCs w:val="24"/>
          <w:lang w:val="en-US"/>
        </w:rPr>
        <w:br/>
      </w:r>
      <w:r>
        <w:rPr>
          <w:color w:val="000000"/>
          <w:sz w:val="24"/>
          <w:szCs w:val="24"/>
          <w:lang w:val="en-US"/>
        </w:rPr>
        <w:t>4-</w:t>
      </w:r>
      <w:r w:rsidR="002C42A1" w:rsidRPr="00D23A43">
        <w:rPr>
          <w:color w:val="000000"/>
          <w:sz w:val="24"/>
          <w:szCs w:val="24"/>
          <w:lang w:val="en-US"/>
        </w:rPr>
        <w:t>Table 1. Possibly typo error: SD's does not reflect the variation in min/max</w:t>
      </w:r>
      <w:r w:rsidR="002C42A1" w:rsidRPr="00D23A43">
        <w:rPr>
          <w:color w:val="000000"/>
          <w:sz w:val="24"/>
          <w:szCs w:val="24"/>
          <w:lang w:val="en-US"/>
        </w:rPr>
        <w:br/>
        <w:t>values.</w:t>
      </w:r>
      <w:r w:rsidR="005A6F76">
        <w:rPr>
          <w:color w:val="FF0000"/>
          <w:sz w:val="24"/>
          <w:szCs w:val="24"/>
          <w:lang w:val="en-US"/>
        </w:rPr>
        <w:t>T</w:t>
      </w:r>
      <w:r w:rsidR="000C4530" w:rsidRPr="005A6F76">
        <w:rPr>
          <w:color w:val="FF0000"/>
          <w:sz w:val="24"/>
          <w:szCs w:val="24"/>
          <w:lang w:val="en-US"/>
        </w:rPr>
        <w:t xml:space="preserve">he numbers related to the total amount of GCF </w:t>
      </w:r>
      <w:r w:rsidR="005A6F76">
        <w:rPr>
          <w:color w:val="FF0000"/>
          <w:sz w:val="24"/>
          <w:szCs w:val="24"/>
          <w:lang w:val="en-US"/>
        </w:rPr>
        <w:t>had very small decimals, and since we ga</w:t>
      </w:r>
      <w:r w:rsidR="000C4530" w:rsidRPr="005A6F76">
        <w:rPr>
          <w:color w:val="FF0000"/>
          <w:sz w:val="24"/>
          <w:szCs w:val="24"/>
          <w:lang w:val="en-US"/>
        </w:rPr>
        <w:t xml:space="preserve">ve </w:t>
      </w:r>
      <w:r w:rsidR="005A6F76">
        <w:rPr>
          <w:color w:val="FF0000"/>
          <w:sz w:val="24"/>
          <w:szCs w:val="24"/>
          <w:lang w:val="en-US"/>
        </w:rPr>
        <w:t xml:space="preserve">the results </w:t>
      </w:r>
      <w:r w:rsidR="000C4530" w:rsidRPr="005A6F76">
        <w:rPr>
          <w:color w:val="FF0000"/>
          <w:sz w:val="24"/>
          <w:szCs w:val="24"/>
          <w:lang w:val="en-US"/>
        </w:rPr>
        <w:t>as 3-digits</w:t>
      </w:r>
      <w:r w:rsidR="008A3BA4">
        <w:rPr>
          <w:color w:val="FF0000"/>
          <w:sz w:val="24"/>
          <w:szCs w:val="24"/>
          <w:lang w:val="en-US"/>
        </w:rPr>
        <w:t xml:space="preserve"> </w:t>
      </w:r>
      <w:r w:rsidR="000C4530" w:rsidRPr="005A6F76">
        <w:rPr>
          <w:color w:val="FF0000"/>
          <w:sz w:val="24"/>
          <w:szCs w:val="24"/>
          <w:lang w:val="en-US"/>
        </w:rPr>
        <w:t xml:space="preserve">the standard deviations were seen as 0.00. </w:t>
      </w:r>
      <w:r w:rsidR="00C54BF1">
        <w:rPr>
          <w:color w:val="FF0000"/>
          <w:sz w:val="24"/>
          <w:szCs w:val="24"/>
          <w:lang w:val="en-US"/>
        </w:rPr>
        <w:t>They are not absolute ze</w:t>
      </w:r>
      <w:r w:rsidR="008A3BA4">
        <w:rPr>
          <w:color w:val="FF0000"/>
          <w:sz w:val="24"/>
          <w:szCs w:val="24"/>
          <w:lang w:val="en-US"/>
        </w:rPr>
        <w:t>r</w:t>
      </w:r>
      <w:r w:rsidR="00C54BF1">
        <w:rPr>
          <w:color w:val="FF0000"/>
          <w:sz w:val="24"/>
          <w:szCs w:val="24"/>
          <w:lang w:val="en-US"/>
        </w:rPr>
        <w:t>o, i</w:t>
      </w:r>
      <w:r w:rsidR="005A6F76">
        <w:rPr>
          <w:color w:val="FF0000"/>
          <w:sz w:val="24"/>
          <w:szCs w:val="24"/>
          <w:lang w:val="en-US"/>
        </w:rPr>
        <w:t xml:space="preserve">f we would have given them as 10 </w:t>
      </w:r>
      <w:r w:rsidR="005A6F76">
        <w:rPr>
          <w:color w:val="FF0000"/>
          <w:sz w:val="24"/>
          <w:szCs w:val="24"/>
          <w:vertAlign w:val="superscript"/>
          <w:lang w:val="en-US"/>
        </w:rPr>
        <w:t>5</w:t>
      </w:r>
      <w:r w:rsidR="008A3BA4">
        <w:rPr>
          <w:color w:val="FF0000"/>
          <w:sz w:val="24"/>
          <w:szCs w:val="24"/>
          <w:lang w:val="en-US"/>
        </w:rPr>
        <w:t>,</w:t>
      </w:r>
      <w:r w:rsidR="005A6F76">
        <w:rPr>
          <w:color w:val="FF0000"/>
          <w:sz w:val="24"/>
          <w:szCs w:val="24"/>
          <w:vertAlign w:val="superscript"/>
          <w:lang w:val="en-US"/>
        </w:rPr>
        <w:t xml:space="preserve"> </w:t>
      </w:r>
      <w:r w:rsidR="005A6F76">
        <w:rPr>
          <w:color w:val="FF0000"/>
          <w:sz w:val="24"/>
          <w:szCs w:val="24"/>
          <w:lang w:val="en-US"/>
        </w:rPr>
        <w:t xml:space="preserve">a very small </w:t>
      </w:r>
      <w:r w:rsidR="008A3BA4">
        <w:rPr>
          <w:color w:val="FF0000"/>
          <w:sz w:val="24"/>
          <w:szCs w:val="24"/>
          <w:lang w:val="en-US"/>
        </w:rPr>
        <w:t xml:space="preserve">value </w:t>
      </w:r>
      <w:r w:rsidR="005A6F76">
        <w:rPr>
          <w:color w:val="FF0000"/>
          <w:sz w:val="24"/>
          <w:szCs w:val="24"/>
          <w:lang w:val="en-US"/>
        </w:rPr>
        <w:t xml:space="preserve">could have been given. </w:t>
      </w:r>
      <w:r w:rsidR="003862B4" w:rsidRPr="005A6F76">
        <w:rPr>
          <w:color w:val="FF0000"/>
          <w:sz w:val="24"/>
          <w:szCs w:val="24"/>
          <w:lang w:val="en-US"/>
        </w:rPr>
        <w:t xml:space="preserve">A graphic related to GCF total amount is stated below. </w:t>
      </w:r>
      <w:r w:rsidR="000C4530" w:rsidRPr="005A6F76">
        <w:rPr>
          <w:color w:val="FF0000"/>
          <w:sz w:val="24"/>
          <w:szCs w:val="24"/>
          <w:lang w:val="en-US"/>
        </w:rPr>
        <w:t>If it is required we can replace the table with the figure.</w:t>
      </w:r>
    </w:p>
    <w:p w:rsidR="003862B4" w:rsidRDefault="003862B4" w:rsidP="00147806">
      <w:pPr>
        <w:pStyle w:val="GvdeMetniGirintisi2"/>
        <w:ind w:left="0"/>
        <w:rPr>
          <w:color w:val="000000"/>
          <w:sz w:val="24"/>
          <w:szCs w:val="24"/>
          <w:lang w:val="en-US"/>
        </w:rPr>
      </w:pPr>
    </w:p>
    <w:p w:rsidR="00147806" w:rsidRDefault="003862B4" w:rsidP="00147806">
      <w:pPr>
        <w:pStyle w:val="GvdeMetniGirintisi2"/>
        <w:ind w:left="0"/>
        <w:rPr>
          <w:color w:val="FF0000"/>
          <w:sz w:val="24"/>
          <w:szCs w:val="24"/>
          <w:lang w:val="en-US"/>
        </w:rPr>
      </w:pPr>
      <w:r>
        <w:rPr>
          <w:noProof/>
          <w:color w:val="000000"/>
          <w:sz w:val="24"/>
          <w:szCs w:val="24"/>
          <w:lang w:val="tr-TR"/>
        </w:rPr>
        <w:lastRenderedPageBreak/>
        <w:drawing>
          <wp:inline distT="0" distB="0" distL="0" distR="0">
            <wp:extent cx="6180666" cy="3419475"/>
            <wp:effectExtent l="19050" t="0" r="0" b="0"/>
            <wp:docPr id="2" name="Resim 1" descr="C:\Users\HP\Desktop\GAZİ MEDİKAL JOURNAL\GCF TOTAL AMOU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GAZİ MEDİKAL JOURNAL\GCF TOTAL AMOUNT.jpg"/>
                    <pic:cNvPicPr>
                      <a:picLocks noChangeAspect="1" noChangeArrowheads="1"/>
                    </pic:cNvPicPr>
                  </pic:nvPicPr>
                  <pic:blipFill>
                    <a:blip r:embed="rId4"/>
                    <a:srcRect/>
                    <a:stretch>
                      <a:fillRect/>
                    </a:stretch>
                  </pic:blipFill>
                  <pic:spPr bwMode="auto">
                    <a:xfrm>
                      <a:off x="0" y="0"/>
                      <a:ext cx="6185361" cy="3422073"/>
                    </a:xfrm>
                    <a:prstGeom prst="rect">
                      <a:avLst/>
                    </a:prstGeom>
                    <a:noFill/>
                    <a:ln w="9525">
                      <a:noFill/>
                      <a:miter lim="800000"/>
                      <a:headEnd/>
                      <a:tailEnd/>
                    </a:ln>
                  </pic:spPr>
                </pic:pic>
              </a:graphicData>
            </a:graphic>
          </wp:inline>
        </w:drawing>
      </w:r>
      <w:r w:rsidR="00147806">
        <w:rPr>
          <w:color w:val="000000"/>
          <w:sz w:val="24"/>
          <w:szCs w:val="24"/>
          <w:lang w:val="en-US"/>
        </w:rPr>
        <w:t>5-</w:t>
      </w:r>
      <w:r w:rsidR="002C42A1" w:rsidRPr="00D23A43">
        <w:rPr>
          <w:color w:val="000000"/>
          <w:sz w:val="24"/>
          <w:szCs w:val="24"/>
          <w:lang w:val="en-US"/>
        </w:rPr>
        <w:t>“Table 4.” should be “Figure 4.”</w:t>
      </w:r>
      <w:r w:rsidR="002C42A1" w:rsidRPr="00D23A43">
        <w:rPr>
          <w:color w:val="000000"/>
          <w:sz w:val="24"/>
          <w:szCs w:val="24"/>
          <w:lang w:val="en-US"/>
        </w:rPr>
        <w:br/>
      </w:r>
      <w:r w:rsidR="00147806">
        <w:rPr>
          <w:color w:val="000000"/>
          <w:sz w:val="24"/>
          <w:szCs w:val="24"/>
          <w:lang w:val="en-US"/>
        </w:rPr>
        <w:t>6-</w:t>
      </w:r>
      <w:r w:rsidR="002C42A1" w:rsidRPr="00D23A43">
        <w:rPr>
          <w:color w:val="000000"/>
          <w:sz w:val="24"/>
          <w:szCs w:val="24"/>
          <w:lang w:val="en-US"/>
        </w:rPr>
        <w:t>Table 4 y-axis label should read “OPG concentration”</w:t>
      </w:r>
      <w:r w:rsidR="002C42A1" w:rsidRPr="00D23A43">
        <w:rPr>
          <w:color w:val="000000"/>
          <w:sz w:val="24"/>
          <w:szCs w:val="24"/>
          <w:lang w:val="en-US"/>
        </w:rPr>
        <w:br/>
      </w:r>
      <w:r w:rsidR="00147806">
        <w:rPr>
          <w:color w:val="000000"/>
          <w:sz w:val="24"/>
          <w:szCs w:val="24"/>
          <w:lang w:val="en-US"/>
        </w:rPr>
        <w:t>7-</w:t>
      </w:r>
      <w:r w:rsidR="002C42A1" w:rsidRPr="00D23A43">
        <w:rPr>
          <w:color w:val="000000"/>
          <w:sz w:val="24"/>
          <w:szCs w:val="24"/>
          <w:lang w:val="en-US"/>
        </w:rPr>
        <w:t>“Table 5.” should be “Figure 5.”</w:t>
      </w:r>
      <w:r w:rsidR="002C42A1" w:rsidRPr="00D23A43">
        <w:rPr>
          <w:color w:val="000000"/>
          <w:sz w:val="24"/>
          <w:szCs w:val="24"/>
          <w:lang w:val="en-US"/>
        </w:rPr>
        <w:br/>
      </w:r>
      <w:r w:rsidR="002C42A1" w:rsidRPr="00D23A43">
        <w:rPr>
          <w:color w:val="000000"/>
          <w:sz w:val="24"/>
          <w:szCs w:val="24"/>
          <w:lang w:val="en-US"/>
        </w:rPr>
        <w:br/>
      </w:r>
      <w:r w:rsidR="00147806">
        <w:rPr>
          <w:color w:val="000000"/>
          <w:sz w:val="24"/>
          <w:szCs w:val="24"/>
          <w:lang w:val="en-US"/>
        </w:rPr>
        <w:t>8-</w:t>
      </w:r>
      <w:r w:rsidR="002C42A1" w:rsidRPr="00D23A43">
        <w:rPr>
          <w:color w:val="000000"/>
          <w:sz w:val="24"/>
          <w:szCs w:val="24"/>
          <w:lang w:val="en-US"/>
        </w:rPr>
        <w:t xml:space="preserve">Table 5. </w:t>
      </w:r>
      <w:proofErr w:type="gramStart"/>
      <w:r w:rsidR="002C42A1" w:rsidRPr="00D23A43">
        <w:rPr>
          <w:color w:val="000000"/>
          <w:sz w:val="24"/>
          <w:szCs w:val="24"/>
          <w:lang w:val="en-US"/>
        </w:rPr>
        <w:t>y-axis</w:t>
      </w:r>
      <w:proofErr w:type="gramEnd"/>
      <w:r w:rsidR="002C42A1" w:rsidRPr="00D23A43">
        <w:rPr>
          <w:color w:val="000000"/>
          <w:sz w:val="24"/>
          <w:szCs w:val="24"/>
          <w:lang w:val="en-US"/>
        </w:rPr>
        <w:t xml:space="preserve"> label should read “RANKL concentration”</w:t>
      </w:r>
      <w:r w:rsidR="002C42A1" w:rsidRPr="00D23A43">
        <w:rPr>
          <w:color w:val="000000"/>
          <w:sz w:val="24"/>
          <w:szCs w:val="24"/>
          <w:lang w:val="en-US"/>
        </w:rPr>
        <w:br/>
      </w:r>
      <w:r w:rsidR="00147806">
        <w:rPr>
          <w:color w:val="000000"/>
          <w:sz w:val="24"/>
          <w:szCs w:val="24"/>
          <w:lang w:val="en-US"/>
        </w:rPr>
        <w:t>9-</w:t>
      </w:r>
      <w:r w:rsidR="002C42A1" w:rsidRPr="00D23A43">
        <w:rPr>
          <w:color w:val="000000"/>
          <w:sz w:val="24"/>
          <w:szCs w:val="24"/>
          <w:lang w:val="en-US"/>
        </w:rPr>
        <w:t>“Table 6.” should be “Figure 6.”</w:t>
      </w:r>
      <w:r w:rsidR="002C42A1" w:rsidRPr="00D23A43">
        <w:rPr>
          <w:color w:val="000000"/>
          <w:sz w:val="24"/>
          <w:szCs w:val="24"/>
          <w:lang w:val="en-US"/>
        </w:rPr>
        <w:br/>
      </w:r>
      <w:r w:rsidR="00147806">
        <w:rPr>
          <w:color w:val="000000"/>
          <w:sz w:val="24"/>
          <w:szCs w:val="24"/>
          <w:lang w:val="en-US"/>
        </w:rPr>
        <w:t>10-</w:t>
      </w:r>
      <w:r w:rsidR="002C42A1" w:rsidRPr="00D23A43">
        <w:rPr>
          <w:color w:val="000000"/>
          <w:sz w:val="24"/>
          <w:szCs w:val="24"/>
          <w:lang w:val="en-US"/>
        </w:rPr>
        <w:t xml:space="preserve">Table 6. </w:t>
      </w:r>
      <w:proofErr w:type="gramStart"/>
      <w:r w:rsidR="002C42A1" w:rsidRPr="00D23A43">
        <w:rPr>
          <w:color w:val="000000"/>
          <w:sz w:val="24"/>
          <w:szCs w:val="24"/>
          <w:lang w:val="en-US"/>
        </w:rPr>
        <w:t>y-axis</w:t>
      </w:r>
      <w:proofErr w:type="gramEnd"/>
      <w:r w:rsidR="002C42A1" w:rsidRPr="00D23A43">
        <w:rPr>
          <w:color w:val="000000"/>
          <w:sz w:val="24"/>
          <w:szCs w:val="24"/>
          <w:lang w:val="en-US"/>
        </w:rPr>
        <w:t xml:space="preserve"> label should read OPG/RANKL ratio”</w:t>
      </w:r>
      <w:r w:rsidR="002C42A1" w:rsidRPr="00D23A43">
        <w:rPr>
          <w:color w:val="000000"/>
          <w:sz w:val="24"/>
          <w:szCs w:val="24"/>
          <w:lang w:val="en-US"/>
        </w:rPr>
        <w:br/>
      </w:r>
      <w:r w:rsidR="00147806">
        <w:rPr>
          <w:color w:val="FF0000"/>
          <w:sz w:val="24"/>
          <w:szCs w:val="24"/>
          <w:lang w:val="en-US"/>
        </w:rPr>
        <w:t xml:space="preserve">All the required corrections stated above have been performed. In relation to the requests, concentration values of OPG and RANKL were given in tables, and total amounts were given in figures. Therefore, the table and figure numbers have been changed throughout the manuscript. </w:t>
      </w:r>
    </w:p>
    <w:p w:rsidR="00F625A4" w:rsidRDefault="002C42A1" w:rsidP="00843BE1">
      <w:pPr>
        <w:pStyle w:val="GvdeMetniGirintisi2"/>
        <w:ind w:left="0"/>
        <w:rPr>
          <w:color w:val="000000"/>
          <w:sz w:val="24"/>
          <w:szCs w:val="24"/>
          <w:lang w:val="en-US"/>
        </w:rPr>
      </w:pPr>
      <w:r w:rsidRPr="00D23A43">
        <w:rPr>
          <w:b/>
          <w:color w:val="000000"/>
          <w:sz w:val="24"/>
          <w:szCs w:val="24"/>
          <w:highlight w:val="yellow"/>
          <w:lang w:val="en-US"/>
        </w:rPr>
        <w:t>Questions concerning material and methods / results</w:t>
      </w:r>
      <w:proofErr w:type="gramStart"/>
      <w:r w:rsidRPr="00D23A43">
        <w:rPr>
          <w:b/>
          <w:color w:val="000000"/>
          <w:sz w:val="24"/>
          <w:szCs w:val="24"/>
          <w:highlight w:val="yellow"/>
          <w:lang w:val="en-US"/>
        </w:rPr>
        <w:t>:</w:t>
      </w:r>
      <w:proofErr w:type="gramEnd"/>
      <w:r w:rsidRPr="00D23A43">
        <w:rPr>
          <w:color w:val="000000"/>
          <w:sz w:val="24"/>
          <w:szCs w:val="24"/>
          <w:lang w:val="en-US"/>
        </w:rPr>
        <w:br/>
      </w:r>
      <w:r w:rsidR="00BF5686" w:rsidRPr="00BF5686">
        <w:rPr>
          <w:color w:val="FF0000"/>
          <w:sz w:val="24"/>
          <w:szCs w:val="24"/>
          <w:lang w:val="en-US"/>
        </w:rPr>
        <w:t>1</w:t>
      </w:r>
      <w:r w:rsidR="00BF5686">
        <w:rPr>
          <w:color w:val="000000"/>
          <w:sz w:val="24"/>
          <w:szCs w:val="24"/>
          <w:lang w:val="en-US"/>
        </w:rPr>
        <w:t>-</w:t>
      </w:r>
      <w:r w:rsidR="00E729DB">
        <w:rPr>
          <w:color w:val="000000"/>
          <w:sz w:val="24"/>
          <w:szCs w:val="24"/>
          <w:lang w:val="en-US"/>
        </w:rPr>
        <w:t>“</w:t>
      </w:r>
      <w:r w:rsidRPr="00E729DB">
        <w:rPr>
          <w:color w:val="000000"/>
          <w:sz w:val="24"/>
          <w:szCs w:val="24"/>
          <w:lang w:val="en-US"/>
        </w:rPr>
        <w:t xml:space="preserve">Is it possible to weigh 1 </w:t>
      </w:r>
      <w:proofErr w:type="spellStart"/>
      <w:r w:rsidRPr="00E729DB">
        <w:rPr>
          <w:color w:val="000000"/>
          <w:sz w:val="24"/>
          <w:szCs w:val="24"/>
          <w:lang w:val="en-US"/>
        </w:rPr>
        <w:t>μg</w:t>
      </w:r>
      <w:proofErr w:type="spellEnd"/>
      <w:r w:rsidRPr="00E729DB">
        <w:rPr>
          <w:color w:val="000000"/>
          <w:sz w:val="24"/>
          <w:szCs w:val="24"/>
          <w:lang w:val="en-US"/>
        </w:rPr>
        <w:t xml:space="preserve"> using a semi micro balance?!?</w:t>
      </w:r>
      <w:r w:rsidRPr="00D23A43">
        <w:rPr>
          <w:color w:val="000000"/>
          <w:sz w:val="24"/>
          <w:szCs w:val="24"/>
          <w:lang w:val="en-US"/>
        </w:rPr>
        <w:t xml:space="preserve"> Usual semi microbalances are rated to measure 10 </w:t>
      </w:r>
      <w:proofErr w:type="spellStart"/>
      <w:r w:rsidRPr="00D23A43">
        <w:rPr>
          <w:color w:val="000000"/>
          <w:sz w:val="24"/>
          <w:szCs w:val="24"/>
          <w:lang w:val="en-US"/>
        </w:rPr>
        <w:t>μg</w:t>
      </w:r>
      <w:proofErr w:type="spellEnd"/>
      <w:r w:rsidRPr="00D23A43">
        <w:rPr>
          <w:color w:val="000000"/>
          <w:sz w:val="24"/>
          <w:szCs w:val="24"/>
          <w:lang w:val="en-US"/>
        </w:rPr>
        <w:t xml:space="preserve"> readings at best! As a rule of thumb,below this limit, it's not possible </w:t>
      </w:r>
      <w:r w:rsidRPr="00D23A43">
        <w:rPr>
          <w:color w:val="000000"/>
          <w:sz w:val="24"/>
          <w:szCs w:val="24"/>
          <w:lang w:val="en-US"/>
        </w:rPr>
        <w:lastRenderedPageBreak/>
        <w:t xml:space="preserve">to perform reproducible readings. GCFweight measurements are likely to be </w:t>
      </w:r>
      <w:proofErr w:type="spellStart"/>
      <w:r w:rsidRPr="00D23A43">
        <w:rPr>
          <w:color w:val="000000"/>
          <w:sz w:val="24"/>
          <w:szCs w:val="24"/>
          <w:lang w:val="en-US"/>
        </w:rPr>
        <w:t>artifactual</w:t>
      </w:r>
      <w:proofErr w:type="spellEnd"/>
      <w:r w:rsidRPr="00D23A43">
        <w:rPr>
          <w:color w:val="000000"/>
          <w:sz w:val="24"/>
          <w:szCs w:val="24"/>
          <w:lang w:val="en-US"/>
        </w:rPr>
        <w:t xml:space="preserve"> rather than actual masses.</w:t>
      </w:r>
      <w:r w:rsidR="00E729DB">
        <w:rPr>
          <w:color w:val="000000"/>
          <w:sz w:val="24"/>
          <w:szCs w:val="24"/>
          <w:lang w:val="en-US"/>
        </w:rPr>
        <w:t>”</w:t>
      </w:r>
    </w:p>
    <w:p w:rsidR="00F625A4" w:rsidRPr="00147806" w:rsidRDefault="00F625A4" w:rsidP="00F625A4">
      <w:pPr>
        <w:spacing w:line="480" w:lineRule="auto"/>
        <w:rPr>
          <w:rFonts w:ascii="Times New Roman" w:eastAsia="Times New Roman" w:hAnsi="Times New Roman" w:cs="Times New Roman"/>
          <w:color w:val="FF0000"/>
          <w:sz w:val="24"/>
          <w:lang w:val="en-US"/>
        </w:rPr>
      </w:pPr>
      <w:r>
        <w:rPr>
          <w:rFonts w:ascii="Arial" w:hAnsi="Arial"/>
          <w:color w:val="000000"/>
        </w:rPr>
        <w:tab/>
      </w:r>
      <w:r w:rsidRPr="00147806">
        <w:rPr>
          <w:rFonts w:ascii="Times New Roman" w:hAnsi="Times New Roman" w:cs="Times New Roman"/>
          <w:color w:val="FF0000"/>
          <w:sz w:val="24"/>
          <w:szCs w:val="24"/>
        </w:rPr>
        <w:t>We agree with the reviewer about the limitations and reproducibility problems of GCF amount detection methods, including semi micro balances. As the reviewer mentioned GCF weight measurements are likely to be artifactual rather than  actual masses.</w:t>
      </w:r>
      <w:r w:rsidRPr="00147806">
        <w:rPr>
          <w:rFonts w:ascii="Times New Roman" w:eastAsia="Times New Roman" w:hAnsi="Times New Roman" w:cs="Times New Roman"/>
          <w:color w:val="FF0000"/>
          <w:sz w:val="24"/>
        </w:rPr>
        <w:t>To determine the amount of gingival crevicular fluid (GCF), an electronic scale was used for weighing the paper strips before and immediately after the collection. The difference between the two weighings gave the volume of fluid collected, assuming a specific gravity of approximately 1.</w:t>
      </w:r>
      <w:r w:rsidRPr="00147806">
        <w:rPr>
          <w:rFonts w:ascii="Times New Roman" w:eastAsia="Times New Roman" w:hAnsi="Times New Roman" w:cs="Times New Roman"/>
          <w:color w:val="FF0000"/>
          <w:sz w:val="24"/>
          <w:lang w:val="en-US"/>
        </w:rPr>
        <w:t xml:space="preserve"> Thus all numbers on GCF measures are given in µg. This measuring method has been published previously by us and the others ( </w:t>
      </w:r>
      <w:proofErr w:type="spellStart"/>
      <w:r w:rsidRPr="00147806">
        <w:rPr>
          <w:rFonts w:ascii="Times New Roman" w:eastAsia="Times New Roman" w:hAnsi="Times New Roman" w:cs="Times New Roman"/>
          <w:color w:val="FF0000"/>
          <w:sz w:val="24"/>
          <w:lang w:val="en-US"/>
        </w:rPr>
        <w:t>Ulkar</w:t>
      </w:r>
      <w:proofErr w:type="spellEnd"/>
      <w:r w:rsidRPr="00147806">
        <w:rPr>
          <w:rFonts w:ascii="Times New Roman" w:eastAsia="Times New Roman" w:hAnsi="Times New Roman" w:cs="Times New Roman"/>
          <w:color w:val="FF0000"/>
          <w:sz w:val="24"/>
          <w:lang w:val="en-US"/>
        </w:rPr>
        <w:t xml:space="preserve"> et al</w:t>
      </w:r>
      <w:proofErr w:type="gramStart"/>
      <w:r w:rsidRPr="00147806">
        <w:rPr>
          <w:rFonts w:ascii="Times New Roman" w:eastAsia="Times New Roman" w:hAnsi="Times New Roman" w:cs="Times New Roman"/>
          <w:color w:val="FF0000"/>
          <w:sz w:val="24"/>
          <w:lang w:val="en-US"/>
        </w:rPr>
        <w:t>.,</w:t>
      </w:r>
      <w:proofErr w:type="gramEnd"/>
      <w:r w:rsidRPr="00147806">
        <w:rPr>
          <w:rFonts w:ascii="Times New Roman" w:eastAsia="Times New Roman" w:hAnsi="Times New Roman" w:cs="Times New Roman"/>
          <w:color w:val="FF0000"/>
          <w:sz w:val="24"/>
          <w:lang w:val="en-US"/>
        </w:rPr>
        <w:t xml:space="preserve"> Journal of </w:t>
      </w:r>
      <w:proofErr w:type="spellStart"/>
      <w:r w:rsidRPr="00147806">
        <w:rPr>
          <w:rFonts w:ascii="Times New Roman" w:eastAsia="Times New Roman" w:hAnsi="Times New Roman" w:cs="Times New Roman"/>
          <w:color w:val="FF0000"/>
          <w:sz w:val="24"/>
          <w:lang w:val="en-US"/>
        </w:rPr>
        <w:t>Periodontology</w:t>
      </w:r>
      <w:proofErr w:type="spellEnd"/>
      <w:r w:rsidRPr="00147806">
        <w:rPr>
          <w:rFonts w:ascii="Times New Roman" w:eastAsia="Times New Roman" w:hAnsi="Times New Roman" w:cs="Times New Roman"/>
          <w:color w:val="FF0000"/>
          <w:sz w:val="24"/>
          <w:lang w:val="en-US"/>
        </w:rPr>
        <w:t xml:space="preserve">, 2012; BB </w:t>
      </w:r>
      <w:proofErr w:type="spellStart"/>
      <w:r w:rsidRPr="00147806">
        <w:rPr>
          <w:rFonts w:ascii="Times New Roman" w:eastAsia="Times New Roman" w:hAnsi="Times New Roman" w:cs="Times New Roman"/>
          <w:color w:val="FF0000"/>
          <w:sz w:val="24"/>
          <w:lang w:val="en-US"/>
        </w:rPr>
        <w:t>Tuncer</w:t>
      </w:r>
      <w:proofErr w:type="spellEnd"/>
      <w:r w:rsidRPr="00147806">
        <w:rPr>
          <w:rFonts w:ascii="Times New Roman" w:eastAsia="Times New Roman" w:hAnsi="Times New Roman" w:cs="Times New Roman"/>
          <w:color w:val="FF0000"/>
          <w:sz w:val="24"/>
          <w:lang w:val="en-US"/>
        </w:rPr>
        <w:t xml:space="preserve"> et al. Angle </w:t>
      </w:r>
      <w:proofErr w:type="spellStart"/>
      <w:r w:rsidRPr="00147806">
        <w:rPr>
          <w:rFonts w:ascii="Times New Roman" w:eastAsia="Times New Roman" w:hAnsi="Times New Roman" w:cs="Times New Roman"/>
          <w:color w:val="FF0000"/>
          <w:sz w:val="24"/>
          <w:lang w:val="en-US"/>
        </w:rPr>
        <w:t>Orthod</w:t>
      </w:r>
      <w:proofErr w:type="spellEnd"/>
      <w:r w:rsidRPr="00147806">
        <w:rPr>
          <w:rFonts w:ascii="Times New Roman" w:eastAsia="Times New Roman" w:hAnsi="Times New Roman" w:cs="Times New Roman"/>
          <w:color w:val="FF0000"/>
          <w:sz w:val="24"/>
          <w:lang w:val="en-US"/>
        </w:rPr>
        <w:t xml:space="preserve">, 2005 </w:t>
      </w:r>
      <w:proofErr w:type="spellStart"/>
      <w:r w:rsidRPr="00147806">
        <w:rPr>
          <w:rFonts w:ascii="Times New Roman" w:eastAsia="Times New Roman" w:hAnsi="Times New Roman" w:cs="Times New Roman"/>
          <w:color w:val="FF0000"/>
          <w:sz w:val="24"/>
          <w:lang w:val="en-US"/>
        </w:rPr>
        <w:t>Ozmeric</w:t>
      </w:r>
      <w:proofErr w:type="spellEnd"/>
      <w:r w:rsidRPr="00147806">
        <w:rPr>
          <w:rFonts w:ascii="Times New Roman" w:eastAsia="Times New Roman" w:hAnsi="Times New Roman" w:cs="Times New Roman"/>
          <w:color w:val="FF0000"/>
          <w:sz w:val="24"/>
          <w:lang w:val="en-US"/>
        </w:rPr>
        <w:t xml:space="preserve"> et al., Journal of </w:t>
      </w:r>
      <w:proofErr w:type="spellStart"/>
      <w:r w:rsidRPr="00147806">
        <w:rPr>
          <w:rFonts w:ascii="Times New Roman" w:eastAsia="Times New Roman" w:hAnsi="Times New Roman" w:cs="Times New Roman"/>
          <w:color w:val="FF0000"/>
          <w:sz w:val="24"/>
          <w:lang w:val="en-US"/>
        </w:rPr>
        <w:t>Periodontology</w:t>
      </w:r>
      <w:proofErr w:type="spellEnd"/>
      <w:r w:rsidRPr="00147806">
        <w:rPr>
          <w:rFonts w:ascii="Times New Roman" w:eastAsia="Times New Roman" w:hAnsi="Times New Roman" w:cs="Times New Roman"/>
          <w:color w:val="FF0000"/>
          <w:sz w:val="24"/>
          <w:lang w:val="en-US"/>
        </w:rPr>
        <w:t xml:space="preserve"> 2002)</w:t>
      </w:r>
    </w:p>
    <w:p w:rsidR="00BF5686" w:rsidRDefault="00BF5686" w:rsidP="008E187A">
      <w:pPr>
        <w:spacing w:line="480" w:lineRule="auto"/>
        <w:rPr>
          <w:rFonts w:ascii="Times New Roman" w:hAnsi="Times New Roman" w:cs="Times New Roman"/>
          <w:color w:val="000000"/>
          <w:sz w:val="24"/>
          <w:szCs w:val="24"/>
          <w:lang w:val="en-US"/>
        </w:rPr>
      </w:pPr>
      <w:r w:rsidRPr="00BF5686">
        <w:rPr>
          <w:rFonts w:ascii="Times New Roman" w:hAnsi="Times New Roman" w:cs="Times New Roman"/>
          <w:color w:val="FF0000"/>
          <w:sz w:val="24"/>
          <w:szCs w:val="24"/>
          <w:lang w:val="en-US"/>
        </w:rPr>
        <w:t>2-“</w:t>
      </w:r>
      <w:r w:rsidR="002C42A1" w:rsidRPr="00BF5686">
        <w:rPr>
          <w:rFonts w:ascii="Times New Roman" w:hAnsi="Times New Roman" w:cs="Times New Roman"/>
          <w:color w:val="000000"/>
          <w:sz w:val="24"/>
          <w:szCs w:val="24"/>
          <w:lang w:val="en-US"/>
        </w:rPr>
        <w:t>Absolute values are presented, instead of OPG and RANKL concentrations. I</w:t>
      </w:r>
      <w:r w:rsidR="002C42A1" w:rsidRPr="00D23A43">
        <w:rPr>
          <w:rFonts w:ascii="Times New Roman" w:hAnsi="Times New Roman" w:cs="Times New Roman"/>
          <w:color w:val="000000"/>
          <w:sz w:val="24"/>
          <w:szCs w:val="24"/>
          <w:lang w:val="en-US"/>
        </w:rPr>
        <w:t>t's</w:t>
      </w:r>
      <w:r w:rsidR="002C42A1" w:rsidRPr="00D23A43">
        <w:rPr>
          <w:rFonts w:ascii="Times New Roman" w:hAnsi="Times New Roman" w:cs="Times New Roman"/>
          <w:color w:val="000000"/>
          <w:sz w:val="24"/>
          <w:szCs w:val="24"/>
          <w:lang w:val="en-US"/>
        </w:rPr>
        <w:br/>
        <w:t>tedious to try to apprehend the data in this representation. Concentration</w:t>
      </w:r>
      <w:r w:rsidR="002C42A1" w:rsidRPr="00D23A43">
        <w:rPr>
          <w:rFonts w:ascii="Times New Roman" w:hAnsi="Times New Roman" w:cs="Times New Roman"/>
          <w:color w:val="000000"/>
          <w:sz w:val="24"/>
          <w:szCs w:val="24"/>
          <w:lang w:val="en-US"/>
        </w:rPr>
        <w:br/>
        <w:t>values should be given instead of absolute amounts. Otherwise, the rationale</w:t>
      </w:r>
      <w:r w:rsidR="002C42A1" w:rsidRPr="00D23A43">
        <w:rPr>
          <w:rFonts w:ascii="Times New Roman" w:hAnsi="Times New Roman" w:cs="Times New Roman"/>
          <w:color w:val="000000"/>
          <w:sz w:val="24"/>
          <w:szCs w:val="24"/>
          <w:lang w:val="en-US"/>
        </w:rPr>
        <w:br/>
        <w:t>for representing absolute amounts should be explained.</w:t>
      </w:r>
      <w:r>
        <w:rPr>
          <w:rFonts w:ascii="Times New Roman" w:hAnsi="Times New Roman" w:cs="Times New Roman"/>
          <w:color w:val="000000"/>
          <w:sz w:val="24"/>
          <w:szCs w:val="24"/>
          <w:lang w:val="en-US"/>
        </w:rPr>
        <w:t>”</w:t>
      </w:r>
    </w:p>
    <w:p w:rsidR="00BF5686" w:rsidRPr="00147806" w:rsidRDefault="00BF5686" w:rsidP="00BF5686">
      <w:pPr>
        <w:autoSpaceDE w:val="0"/>
        <w:autoSpaceDN w:val="0"/>
        <w:adjustRightInd w:val="0"/>
        <w:spacing w:line="480" w:lineRule="auto"/>
        <w:rPr>
          <w:rFonts w:ascii="Times New Roman" w:eastAsia="ArialNarrow" w:hAnsi="Times New Roman" w:cs="Times New Roman"/>
          <w:color w:val="FF0000"/>
          <w:sz w:val="24"/>
        </w:rPr>
      </w:pPr>
      <w:r>
        <w:rPr>
          <w:rFonts w:ascii="Times New Roman" w:hAnsi="Times New Roman"/>
          <w:sz w:val="24"/>
          <w:lang w:val="en-US"/>
        </w:rPr>
        <w:tab/>
      </w:r>
      <w:r w:rsidRPr="00147806">
        <w:rPr>
          <w:rFonts w:ascii="Times New Roman" w:hAnsi="Times New Roman"/>
          <w:color w:val="FF0000"/>
          <w:sz w:val="24"/>
          <w:lang w:val="en-US"/>
        </w:rPr>
        <w:t xml:space="preserve">Concentration values related to OPG and RANKL are included in </w:t>
      </w:r>
      <w:r w:rsidR="00147806">
        <w:rPr>
          <w:rFonts w:ascii="Times New Roman" w:hAnsi="Times New Roman"/>
          <w:color w:val="FF0000"/>
          <w:sz w:val="24"/>
          <w:lang w:val="en-US"/>
        </w:rPr>
        <w:t xml:space="preserve">tables in </w:t>
      </w:r>
      <w:r w:rsidRPr="00147806">
        <w:rPr>
          <w:rFonts w:ascii="Times New Roman" w:hAnsi="Times New Roman"/>
          <w:color w:val="FF0000"/>
          <w:sz w:val="24"/>
          <w:lang w:val="en-US"/>
        </w:rPr>
        <w:t>the manuscript as suggested.</w:t>
      </w:r>
    </w:p>
    <w:p w:rsidR="00BF5686" w:rsidRPr="00147806" w:rsidRDefault="00BF5686" w:rsidP="00BF5686">
      <w:pPr>
        <w:spacing w:line="480" w:lineRule="auto"/>
        <w:rPr>
          <w:rFonts w:ascii="Times New Roman" w:eastAsia="ArialNarrow" w:hAnsi="Times New Roman" w:cs="Times New Roman"/>
          <w:color w:val="FF0000"/>
          <w:sz w:val="24"/>
        </w:rPr>
      </w:pPr>
      <w:r w:rsidRPr="00BF5686">
        <w:rPr>
          <w:rFonts w:ascii="Times New Roman" w:hAnsi="Times New Roman" w:cs="Times New Roman"/>
          <w:color w:val="FF0000"/>
          <w:sz w:val="24"/>
          <w:szCs w:val="24"/>
          <w:lang w:val="en-US"/>
        </w:rPr>
        <w:t>3-“</w:t>
      </w:r>
      <w:r w:rsidR="002C42A1" w:rsidRPr="00E729DB">
        <w:rPr>
          <w:rFonts w:ascii="Times New Roman" w:hAnsi="Times New Roman" w:cs="Times New Roman"/>
          <w:color w:val="000000"/>
          <w:sz w:val="24"/>
          <w:szCs w:val="24"/>
          <w:lang w:val="en-US"/>
        </w:rPr>
        <w:t>Although obtained OPG values exceed detection limit of the OPG-ELISA kit,</w:t>
      </w:r>
      <w:r w:rsidR="002C42A1" w:rsidRPr="00E729DB">
        <w:rPr>
          <w:rFonts w:ascii="Times New Roman" w:hAnsi="Times New Roman" w:cs="Times New Roman"/>
          <w:color w:val="000000"/>
          <w:sz w:val="24"/>
          <w:szCs w:val="24"/>
          <w:lang w:val="en-US"/>
        </w:rPr>
        <w:br/>
        <w:t xml:space="preserve">almost all measurements fall below the lowest standard. </w:t>
      </w:r>
      <w:proofErr w:type="spellStart"/>
      <w:r w:rsidR="002C42A1" w:rsidRPr="00E729DB">
        <w:rPr>
          <w:rFonts w:ascii="Times New Roman" w:hAnsi="Times New Roman" w:cs="Times New Roman"/>
          <w:color w:val="000000"/>
          <w:sz w:val="24"/>
          <w:szCs w:val="24"/>
          <w:lang w:val="en-US"/>
        </w:rPr>
        <w:t>Exterpolating</w:t>
      </w:r>
      <w:proofErr w:type="spellEnd"/>
      <w:r w:rsidR="002C42A1" w:rsidRPr="00E729DB">
        <w:rPr>
          <w:rFonts w:ascii="Times New Roman" w:hAnsi="Times New Roman" w:cs="Times New Roman"/>
          <w:color w:val="000000"/>
          <w:sz w:val="24"/>
          <w:szCs w:val="24"/>
          <w:lang w:val="en-US"/>
        </w:rPr>
        <w:t xml:space="preserve"> the</w:t>
      </w:r>
      <w:r w:rsidR="002C42A1" w:rsidRPr="00E729DB">
        <w:rPr>
          <w:rFonts w:ascii="Times New Roman" w:hAnsi="Times New Roman" w:cs="Times New Roman"/>
          <w:color w:val="000000"/>
          <w:sz w:val="24"/>
          <w:szCs w:val="24"/>
          <w:lang w:val="en-US"/>
        </w:rPr>
        <w:br/>
        <w:t>nonlinear standard curve may (will) pose the risk of over/underestimating</w:t>
      </w:r>
      <w:r w:rsidR="002C42A1" w:rsidRPr="00E729DB">
        <w:rPr>
          <w:rFonts w:ascii="Times New Roman" w:hAnsi="Times New Roman" w:cs="Times New Roman"/>
          <w:color w:val="000000"/>
          <w:sz w:val="24"/>
          <w:szCs w:val="24"/>
          <w:lang w:val="en-US"/>
        </w:rPr>
        <w:br/>
        <w:t>actual concentrations.</w:t>
      </w:r>
      <w:r w:rsidR="002C42A1" w:rsidRPr="00D23A43">
        <w:rPr>
          <w:rFonts w:ascii="Times New Roman" w:hAnsi="Times New Roman" w:cs="Times New Roman"/>
          <w:color w:val="000000"/>
          <w:sz w:val="24"/>
          <w:szCs w:val="24"/>
          <w:lang w:val="en-US"/>
        </w:rPr>
        <w:t xml:space="preserve"> Furthermore, if the patient samples/technical</w:t>
      </w:r>
      <w:r w:rsidR="002C42A1" w:rsidRPr="00D23A43">
        <w:rPr>
          <w:rFonts w:ascii="Times New Roman" w:hAnsi="Times New Roman" w:cs="Times New Roman"/>
          <w:color w:val="000000"/>
          <w:sz w:val="24"/>
          <w:szCs w:val="24"/>
          <w:lang w:val="en-US"/>
        </w:rPr>
        <w:br/>
        <w:t>replicates are assayed at different time points, it will be completely</w:t>
      </w:r>
      <w:r w:rsidR="002C42A1" w:rsidRPr="00D23A43">
        <w:rPr>
          <w:rFonts w:ascii="Times New Roman" w:hAnsi="Times New Roman" w:cs="Times New Roman"/>
          <w:color w:val="000000"/>
          <w:sz w:val="24"/>
          <w:szCs w:val="24"/>
          <w:lang w:val="en-US"/>
        </w:rPr>
        <w:br/>
        <w:t xml:space="preserve">impossible to make an assessment. To be fair, </w:t>
      </w:r>
      <w:proofErr w:type="spellStart"/>
      <w:r w:rsidR="002C42A1" w:rsidRPr="00D23A43">
        <w:rPr>
          <w:rFonts w:ascii="Times New Roman" w:hAnsi="Times New Roman" w:cs="Times New Roman"/>
          <w:color w:val="000000"/>
          <w:sz w:val="24"/>
          <w:szCs w:val="24"/>
          <w:lang w:val="en-US"/>
        </w:rPr>
        <w:t>i</w:t>
      </w:r>
      <w:proofErr w:type="spellEnd"/>
      <w:r w:rsidR="002C42A1" w:rsidRPr="00D23A43">
        <w:rPr>
          <w:rFonts w:ascii="Times New Roman" w:hAnsi="Times New Roman" w:cs="Times New Roman"/>
          <w:color w:val="000000"/>
          <w:sz w:val="24"/>
          <w:szCs w:val="24"/>
          <w:lang w:val="en-US"/>
        </w:rPr>
        <w:t xml:space="preserve"> have to emphasize that</w:t>
      </w:r>
      <w:proofErr w:type="gramStart"/>
      <w:r w:rsidR="002C42A1" w:rsidRPr="00D23A43">
        <w:rPr>
          <w:rFonts w:ascii="Times New Roman" w:hAnsi="Times New Roman" w:cs="Times New Roman"/>
          <w:color w:val="000000"/>
          <w:sz w:val="24"/>
          <w:szCs w:val="24"/>
          <w:lang w:val="en-US"/>
        </w:rPr>
        <w:t>,</w:t>
      </w:r>
      <w:proofErr w:type="gramEnd"/>
      <w:r w:rsidR="002C42A1" w:rsidRPr="00D23A43">
        <w:rPr>
          <w:rFonts w:ascii="Times New Roman" w:hAnsi="Times New Roman" w:cs="Times New Roman"/>
          <w:color w:val="000000"/>
          <w:sz w:val="24"/>
          <w:szCs w:val="24"/>
          <w:lang w:val="en-US"/>
        </w:rPr>
        <w:br/>
        <w:t>there is no way to find a suitable commercial kit for this kind of study.</w:t>
      </w:r>
      <w:r w:rsidR="002C42A1" w:rsidRPr="00D23A43">
        <w:rPr>
          <w:rFonts w:ascii="Times New Roman" w:hAnsi="Times New Roman" w:cs="Times New Roman"/>
          <w:color w:val="000000"/>
          <w:sz w:val="24"/>
          <w:szCs w:val="24"/>
          <w:lang w:val="en-US"/>
        </w:rPr>
        <w:br/>
      </w:r>
      <w:r w:rsidR="002C42A1" w:rsidRPr="00D23A43">
        <w:rPr>
          <w:rFonts w:ascii="Times New Roman" w:hAnsi="Times New Roman" w:cs="Times New Roman"/>
          <w:color w:val="000000"/>
          <w:sz w:val="24"/>
          <w:szCs w:val="24"/>
          <w:lang w:val="en-US"/>
        </w:rPr>
        <w:lastRenderedPageBreak/>
        <w:t>Therefore, it's quite understandable and acceptable to use those kits, but</w:t>
      </w:r>
      <w:r w:rsidR="002C42A1" w:rsidRPr="00D23A43">
        <w:rPr>
          <w:rFonts w:ascii="Times New Roman" w:hAnsi="Times New Roman" w:cs="Times New Roman"/>
          <w:color w:val="000000"/>
          <w:sz w:val="24"/>
          <w:szCs w:val="24"/>
          <w:lang w:val="en-US"/>
        </w:rPr>
        <w:br/>
        <w:t>wouldn't it be nice to extend the dilution series of standards to cover the</w:t>
      </w:r>
      <w:r w:rsidR="002C42A1" w:rsidRPr="00D23A43">
        <w:rPr>
          <w:rFonts w:ascii="Times New Roman" w:hAnsi="Times New Roman" w:cs="Times New Roman"/>
          <w:color w:val="000000"/>
          <w:sz w:val="24"/>
          <w:szCs w:val="24"/>
          <w:lang w:val="en-US"/>
        </w:rPr>
        <w:br/>
        <w:t xml:space="preserve">expected range of </w:t>
      </w:r>
      <w:proofErr w:type="spellStart"/>
      <w:r w:rsidR="002C42A1" w:rsidRPr="00D23A43">
        <w:rPr>
          <w:rFonts w:ascii="Times New Roman" w:hAnsi="Times New Roman" w:cs="Times New Roman"/>
          <w:color w:val="000000"/>
          <w:sz w:val="24"/>
          <w:szCs w:val="24"/>
          <w:lang w:val="en-US"/>
        </w:rPr>
        <w:t>analyte</w:t>
      </w:r>
      <w:proofErr w:type="spellEnd"/>
      <w:r w:rsidR="002C42A1" w:rsidRPr="00D23A43">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w:t>
      </w:r>
      <w:r w:rsidR="002C42A1" w:rsidRPr="00D23A43">
        <w:rPr>
          <w:rFonts w:ascii="Times New Roman" w:hAnsi="Times New Roman" w:cs="Times New Roman"/>
          <w:color w:val="000000"/>
          <w:sz w:val="24"/>
          <w:szCs w:val="24"/>
          <w:lang w:val="en-US"/>
        </w:rPr>
        <w:br/>
      </w:r>
      <w:r>
        <w:rPr>
          <w:rFonts w:ascii="Times New Roman" w:eastAsia="ArialNarrow" w:hAnsi="Times New Roman"/>
          <w:sz w:val="24"/>
        </w:rPr>
        <w:tab/>
      </w:r>
      <w:r w:rsidRPr="00147806">
        <w:rPr>
          <w:rFonts w:ascii="Times New Roman" w:eastAsia="ArialNarrow" w:hAnsi="Times New Roman" w:cs="Times New Roman"/>
          <w:color w:val="FF0000"/>
          <w:sz w:val="24"/>
        </w:rPr>
        <w:t>Limit of Detection in “Biovendor OPG Elisa kit” is defined as concentration of analyte giving absorbance higher than mean absorbance of blank* plus three standard deviations of the absorbance of blank: Ablank+ 3xSDblank, is calculated from the real human OPG values in wells and is 0.03 pmol/l.</w:t>
      </w:r>
    </w:p>
    <w:p w:rsidR="00BF5686" w:rsidRPr="00147806" w:rsidRDefault="00BF5686" w:rsidP="00BF5686">
      <w:pPr>
        <w:autoSpaceDE w:val="0"/>
        <w:autoSpaceDN w:val="0"/>
        <w:adjustRightInd w:val="0"/>
        <w:spacing w:line="480" w:lineRule="auto"/>
        <w:rPr>
          <w:rFonts w:ascii="Times New Roman" w:eastAsia="ArialNarrow" w:hAnsi="Times New Roman" w:cs="Times New Roman"/>
          <w:color w:val="FF0000"/>
          <w:sz w:val="24"/>
        </w:rPr>
      </w:pPr>
      <w:r w:rsidRPr="00147806">
        <w:rPr>
          <w:rFonts w:ascii="Times New Roman" w:eastAsia="ArialNarrow" w:hAnsi="Times New Roman" w:cs="Times New Roman"/>
          <w:color w:val="FF0000"/>
          <w:sz w:val="24"/>
        </w:rPr>
        <w:t>*Dilution Buffer is pipetted into blank wells.</w:t>
      </w:r>
    </w:p>
    <w:p w:rsidR="00BF5686" w:rsidRDefault="00BF5686" w:rsidP="00AC4D66">
      <w:pPr>
        <w:rPr>
          <w:rFonts w:ascii="Times New Roman" w:hAnsi="Times New Roman" w:cs="Times New Roman"/>
          <w:color w:val="000000"/>
          <w:sz w:val="24"/>
          <w:szCs w:val="24"/>
          <w:lang w:val="en-US"/>
        </w:rPr>
      </w:pPr>
    </w:p>
    <w:p w:rsidR="00BF5686" w:rsidRDefault="00BF5686" w:rsidP="00AC4D66">
      <w:pPr>
        <w:rPr>
          <w:rFonts w:ascii="Times New Roman" w:hAnsi="Times New Roman" w:cs="Times New Roman"/>
          <w:color w:val="000000"/>
          <w:sz w:val="24"/>
          <w:szCs w:val="24"/>
          <w:lang w:val="en-US"/>
        </w:rPr>
      </w:pPr>
    </w:p>
    <w:p w:rsidR="00BF5686" w:rsidRDefault="00BF5686" w:rsidP="00AC4D66">
      <w:pPr>
        <w:rPr>
          <w:rFonts w:ascii="Times New Roman" w:hAnsi="Times New Roman" w:cs="Times New Roman"/>
          <w:color w:val="000000"/>
          <w:sz w:val="24"/>
          <w:szCs w:val="24"/>
          <w:lang w:val="en-US"/>
        </w:rPr>
      </w:pPr>
    </w:p>
    <w:p w:rsidR="00BF5686" w:rsidRDefault="00BF5686" w:rsidP="00AC4D66">
      <w:pPr>
        <w:rPr>
          <w:rFonts w:ascii="Times New Roman" w:hAnsi="Times New Roman" w:cs="Times New Roman"/>
          <w:color w:val="000000"/>
          <w:sz w:val="24"/>
          <w:szCs w:val="24"/>
          <w:lang w:val="en-US"/>
        </w:rPr>
      </w:pPr>
    </w:p>
    <w:p w:rsidR="00BF5686" w:rsidRDefault="00BF5686" w:rsidP="00AC4D66">
      <w:pPr>
        <w:rPr>
          <w:rFonts w:ascii="Times New Roman" w:hAnsi="Times New Roman" w:cs="Times New Roman"/>
          <w:color w:val="000000"/>
          <w:sz w:val="24"/>
          <w:szCs w:val="24"/>
          <w:lang w:val="en-US"/>
        </w:rPr>
      </w:pPr>
    </w:p>
    <w:p w:rsidR="004B10DF" w:rsidRPr="00D23A43" w:rsidRDefault="00BF5686" w:rsidP="00AC4D66">
      <w:pPr>
        <w:rPr>
          <w:rFonts w:ascii="Times New Roman" w:hAnsi="Times New Roman" w:cs="Times New Roman"/>
          <w:sz w:val="24"/>
          <w:szCs w:val="24"/>
        </w:rPr>
      </w:pPr>
      <w:r>
        <w:rPr>
          <w:rFonts w:ascii="Times New Roman" w:hAnsi="Times New Roman" w:cs="Times New Roman"/>
          <w:color w:val="000000"/>
          <w:sz w:val="24"/>
          <w:szCs w:val="24"/>
          <w:lang w:val="en-US"/>
        </w:rPr>
        <w:tab/>
      </w:r>
      <w:r w:rsidR="002C42A1" w:rsidRPr="00D23A43">
        <w:rPr>
          <w:rFonts w:ascii="Times New Roman" w:hAnsi="Times New Roman" w:cs="Times New Roman"/>
          <w:color w:val="000000"/>
          <w:sz w:val="24"/>
          <w:szCs w:val="24"/>
          <w:lang w:val="en-US"/>
        </w:rPr>
        <w:br/>
      </w:r>
      <w:r w:rsidR="002C42A1" w:rsidRPr="00D23A43">
        <w:rPr>
          <w:rFonts w:ascii="Times New Roman" w:hAnsi="Times New Roman" w:cs="Times New Roman"/>
          <w:color w:val="000000"/>
          <w:sz w:val="24"/>
          <w:szCs w:val="24"/>
          <w:lang w:val="en-US"/>
        </w:rPr>
        <w:br/>
      </w:r>
    </w:p>
    <w:sectPr w:rsidR="004B10DF" w:rsidRPr="00D23A43" w:rsidSect="001407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08"/>
  <w:hyphenationZone w:val="425"/>
  <w:characterSpacingControl w:val="doNotCompress"/>
  <w:compat>
    <w:useFELayout/>
  </w:compat>
  <w:rsids>
    <w:rsidRoot w:val="002C42A1"/>
    <w:rsid w:val="000A5298"/>
    <w:rsid w:val="000C4530"/>
    <w:rsid w:val="001407D3"/>
    <w:rsid w:val="00147806"/>
    <w:rsid w:val="002654FD"/>
    <w:rsid w:val="002C42A1"/>
    <w:rsid w:val="003862B4"/>
    <w:rsid w:val="004B10DF"/>
    <w:rsid w:val="005A6F76"/>
    <w:rsid w:val="00641668"/>
    <w:rsid w:val="00843BE1"/>
    <w:rsid w:val="008A22FD"/>
    <w:rsid w:val="008A3BA4"/>
    <w:rsid w:val="008E187A"/>
    <w:rsid w:val="00970C00"/>
    <w:rsid w:val="00A36FB5"/>
    <w:rsid w:val="00A46B5F"/>
    <w:rsid w:val="00A626E0"/>
    <w:rsid w:val="00AC0D8E"/>
    <w:rsid w:val="00AC0E58"/>
    <w:rsid w:val="00AC4D66"/>
    <w:rsid w:val="00BF5686"/>
    <w:rsid w:val="00C54BF1"/>
    <w:rsid w:val="00D23A43"/>
    <w:rsid w:val="00D51A2C"/>
    <w:rsid w:val="00DA2924"/>
    <w:rsid w:val="00DE3B89"/>
    <w:rsid w:val="00E729DB"/>
    <w:rsid w:val="00F625A4"/>
    <w:rsid w:val="00FC0943"/>
    <w:rsid w:val="00FE74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1407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elamlama">
    <w:name w:val="Salutation"/>
    <w:basedOn w:val="Normal"/>
    <w:next w:val="Normal"/>
    <w:link w:val="SelamlamaChar"/>
    <w:rsid w:val="002C42A1"/>
    <w:pPr>
      <w:spacing w:before="220" w:after="220" w:line="220" w:lineRule="atLeast"/>
    </w:pPr>
    <w:rPr>
      <w:rFonts w:ascii="Arial" w:eastAsia="Times New Roman" w:hAnsi="Arial" w:cs="Times New Roman"/>
      <w:spacing w:val="-5"/>
      <w:sz w:val="20"/>
      <w:szCs w:val="20"/>
      <w:lang w:val="en-AU"/>
    </w:rPr>
  </w:style>
  <w:style w:type="character" w:customStyle="1" w:styleId="SelamlamaChar">
    <w:name w:val="Selamlama Char"/>
    <w:basedOn w:val="VarsaylanParagrafYazTipi"/>
    <w:link w:val="Selamlama"/>
    <w:rsid w:val="002C42A1"/>
    <w:rPr>
      <w:rFonts w:ascii="Arial" w:eastAsia="Times New Roman" w:hAnsi="Arial" w:cs="Times New Roman"/>
      <w:spacing w:val="-5"/>
      <w:sz w:val="20"/>
      <w:szCs w:val="20"/>
      <w:lang w:val="en-AU"/>
    </w:rPr>
  </w:style>
  <w:style w:type="paragraph" w:styleId="GvdeMetniGirintisi2">
    <w:name w:val="Body Text Indent 2"/>
    <w:basedOn w:val="Normal"/>
    <w:link w:val="GvdeMetniGirintisi2Char"/>
    <w:rsid w:val="00AC4D66"/>
    <w:pPr>
      <w:spacing w:after="120" w:line="480" w:lineRule="auto"/>
      <w:ind w:left="360"/>
    </w:pPr>
    <w:rPr>
      <w:rFonts w:ascii="Times New Roman" w:eastAsia="Times New Roman" w:hAnsi="Times New Roman" w:cs="Times New Roman"/>
      <w:sz w:val="20"/>
      <w:szCs w:val="20"/>
      <w:lang w:val="en-AU"/>
    </w:rPr>
  </w:style>
  <w:style w:type="character" w:customStyle="1" w:styleId="GvdeMetniGirintisi2Char">
    <w:name w:val="Gövde Metni Girintisi 2 Char"/>
    <w:basedOn w:val="VarsaylanParagrafYazTipi"/>
    <w:link w:val="GvdeMetniGirintisi2"/>
    <w:rsid w:val="00AC4D66"/>
    <w:rPr>
      <w:rFonts w:ascii="Times New Roman" w:eastAsia="Times New Roman" w:hAnsi="Times New Roman" w:cs="Times New Roman"/>
      <w:sz w:val="20"/>
      <w:szCs w:val="20"/>
      <w:lang w:val="en-AU"/>
    </w:rPr>
  </w:style>
  <w:style w:type="character" w:styleId="Kpr">
    <w:name w:val="Hyperlink"/>
    <w:basedOn w:val="VarsaylanParagrafYazTipi"/>
    <w:uiPriority w:val="99"/>
    <w:semiHidden/>
    <w:unhideWhenUsed/>
    <w:rsid w:val="00AC0D8E"/>
    <w:rPr>
      <w:color w:val="0000FF"/>
      <w:u w:val="single"/>
    </w:rPr>
  </w:style>
  <w:style w:type="paragraph" w:customStyle="1" w:styleId="title">
    <w:name w:val="title"/>
    <w:basedOn w:val="Normal"/>
    <w:rsid w:val="00AC0D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AC0D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AC0D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VarsaylanParagrafYazTipi"/>
    <w:rsid w:val="00AC0D8E"/>
  </w:style>
  <w:style w:type="character" w:styleId="AklamaBavurusu">
    <w:name w:val="annotation reference"/>
    <w:basedOn w:val="VarsaylanParagrafYazTipi"/>
    <w:uiPriority w:val="99"/>
    <w:semiHidden/>
    <w:unhideWhenUsed/>
    <w:rsid w:val="00843BE1"/>
    <w:rPr>
      <w:sz w:val="16"/>
      <w:szCs w:val="16"/>
    </w:rPr>
  </w:style>
  <w:style w:type="paragraph" w:styleId="AklamaMetni">
    <w:name w:val="annotation text"/>
    <w:basedOn w:val="Normal"/>
    <w:link w:val="AklamaMetniChar"/>
    <w:uiPriority w:val="99"/>
    <w:semiHidden/>
    <w:unhideWhenUsed/>
    <w:rsid w:val="00843BE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43BE1"/>
    <w:rPr>
      <w:sz w:val="20"/>
      <w:szCs w:val="20"/>
    </w:rPr>
  </w:style>
  <w:style w:type="paragraph" w:styleId="AklamaKonusu">
    <w:name w:val="annotation subject"/>
    <w:basedOn w:val="AklamaMetni"/>
    <w:next w:val="AklamaMetni"/>
    <w:link w:val="AklamaKonusuChar"/>
    <w:uiPriority w:val="99"/>
    <w:semiHidden/>
    <w:unhideWhenUsed/>
    <w:rsid w:val="00843BE1"/>
    <w:rPr>
      <w:b/>
      <w:bCs/>
    </w:rPr>
  </w:style>
  <w:style w:type="character" w:customStyle="1" w:styleId="AklamaKonusuChar">
    <w:name w:val="Açıklama Konusu Char"/>
    <w:basedOn w:val="AklamaMetniChar"/>
    <w:link w:val="AklamaKonusu"/>
    <w:uiPriority w:val="99"/>
    <w:semiHidden/>
    <w:rsid w:val="00843BE1"/>
    <w:rPr>
      <w:b/>
      <w:bCs/>
    </w:rPr>
  </w:style>
  <w:style w:type="paragraph" w:styleId="BalonMetni">
    <w:name w:val="Balloon Text"/>
    <w:basedOn w:val="Normal"/>
    <w:link w:val="BalonMetniChar"/>
    <w:uiPriority w:val="99"/>
    <w:semiHidden/>
    <w:unhideWhenUsed/>
    <w:rsid w:val="00843B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3B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2947557">
      <w:bodyDiv w:val="1"/>
      <w:marLeft w:val="0"/>
      <w:marRight w:val="0"/>
      <w:marTop w:val="0"/>
      <w:marBottom w:val="0"/>
      <w:divBdr>
        <w:top w:val="none" w:sz="0" w:space="0" w:color="auto"/>
        <w:left w:val="none" w:sz="0" w:space="0" w:color="auto"/>
        <w:bottom w:val="none" w:sz="0" w:space="0" w:color="auto"/>
        <w:right w:val="none" w:sz="0" w:space="0" w:color="auto"/>
      </w:divBdr>
      <w:divsChild>
        <w:div w:id="1252197005">
          <w:marLeft w:val="0"/>
          <w:marRight w:val="0"/>
          <w:marTop w:val="0"/>
          <w:marBottom w:val="0"/>
          <w:divBdr>
            <w:top w:val="none" w:sz="0" w:space="0" w:color="auto"/>
            <w:left w:val="none" w:sz="0" w:space="0" w:color="auto"/>
            <w:bottom w:val="none" w:sz="0" w:space="0" w:color="auto"/>
            <w:right w:val="none" w:sz="0" w:space="0" w:color="auto"/>
          </w:divBdr>
          <w:divsChild>
            <w:div w:id="1318143123">
              <w:marLeft w:val="0"/>
              <w:marRight w:val="0"/>
              <w:marTop w:val="0"/>
              <w:marBottom w:val="0"/>
              <w:divBdr>
                <w:top w:val="none" w:sz="0" w:space="0" w:color="auto"/>
                <w:left w:val="none" w:sz="0" w:space="0" w:color="auto"/>
                <w:bottom w:val="none" w:sz="0" w:space="0" w:color="auto"/>
                <w:right w:val="none" w:sz="0" w:space="0" w:color="auto"/>
              </w:divBdr>
              <w:divsChild>
                <w:div w:id="967901313">
                  <w:marLeft w:val="0"/>
                  <w:marRight w:val="0"/>
                  <w:marTop w:val="0"/>
                  <w:marBottom w:val="0"/>
                  <w:divBdr>
                    <w:top w:val="none" w:sz="0" w:space="0" w:color="auto"/>
                    <w:left w:val="none" w:sz="0" w:space="0" w:color="auto"/>
                    <w:bottom w:val="none" w:sz="0" w:space="0" w:color="auto"/>
                    <w:right w:val="none" w:sz="0" w:space="0" w:color="auto"/>
                  </w:divBdr>
                  <w:divsChild>
                    <w:div w:id="766385362">
                      <w:marLeft w:val="0"/>
                      <w:marRight w:val="0"/>
                      <w:marTop w:val="0"/>
                      <w:marBottom w:val="0"/>
                      <w:divBdr>
                        <w:top w:val="none" w:sz="0" w:space="0" w:color="auto"/>
                        <w:left w:val="none" w:sz="0" w:space="0" w:color="auto"/>
                        <w:bottom w:val="none" w:sz="0" w:space="0" w:color="auto"/>
                        <w:right w:val="none" w:sz="0" w:space="0" w:color="auto"/>
                      </w:divBdr>
                      <w:divsChild>
                        <w:div w:id="1313172779">
                          <w:marLeft w:val="0"/>
                          <w:marRight w:val="0"/>
                          <w:marTop w:val="0"/>
                          <w:marBottom w:val="0"/>
                          <w:divBdr>
                            <w:top w:val="none" w:sz="0" w:space="0" w:color="auto"/>
                            <w:left w:val="none" w:sz="0" w:space="0" w:color="auto"/>
                            <w:bottom w:val="none" w:sz="0" w:space="0" w:color="auto"/>
                            <w:right w:val="none" w:sz="0" w:space="0" w:color="auto"/>
                          </w:divBdr>
                          <w:divsChild>
                            <w:div w:id="374234284">
                              <w:marLeft w:val="0"/>
                              <w:marRight w:val="0"/>
                              <w:marTop w:val="0"/>
                              <w:marBottom w:val="0"/>
                              <w:divBdr>
                                <w:top w:val="none" w:sz="0" w:space="0" w:color="auto"/>
                                <w:left w:val="none" w:sz="0" w:space="0" w:color="auto"/>
                                <w:bottom w:val="none" w:sz="0" w:space="0" w:color="auto"/>
                                <w:right w:val="none" w:sz="0" w:space="0" w:color="auto"/>
                              </w:divBdr>
                              <w:divsChild>
                                <w:div w:id="735666373">
                                  <w:marLeft w:val="0"/>
                                  <w:marRight w:val="0"/>
                                  <w:marTop w:val="0"/>
                                  <w:marBottom w:val="0"/>
                                  <w:divBdr>
                                    <w:top w:val="none" w:sz="0" w:space="0" w:color="auto"/>
                                    <w:left w:val="none" w:sz="0" w:space="0" w:color="auto"/>
                                    <w:bottom w:val="none" w:sz="0" w:space="0" w:color="auto"/>
                                    <w:right w:val="none" w:sz="0" w:space="0" w:color="auto"/>
                                  </w:divBdr>
                                  <w:divsChild>
                                    <w:div w:id="1443112186">
                                      <w:marLeft w:val="0"/>
                                      <w:marRight w:val="0"/>
                                      <w:marTop w:val="0"/>
                                      <w:marBottom w:val="0"/>
                                      <w:divBdr>
                                        <w:top w:val="none" w:sz="0" w:space="0" w:color="auto"/>
                                        <w:left w:val="none" w:sz="0" w:space="0" w:color="auto"/>
                                        <w:bottom w:val="none" w:sz="0" w:space="0" w:color="auto"/>
                                        <w:right w:val="none" w:sz="0" w:space="0" w:color="auto"/>
                                      </w:divBdr>
                                      <w:divsChild>
                                        <w:div w:id="131498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667</Words>
  <Characters>3806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dc:creator>
  <cp:lastModifiedBy>HP</cp:lastModifiedBy>
  <cp:revision>2</cp:revision>
  <dcterms:created xsi:type="dcterms:W3CDTF">2013-04-24T07:54:00Z</dcterms:created>
  <dcterms:modified xsi:type="dcterms:W3CDTF">2013-04-24T07:54:00Z</dcterms:modified>
</cp:coreProperties>
</file>