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63" w:rsidRDefault="00BD5931">
      <w:proofErr w:type="gramStart"/>
      <w:r>
        <w:t>TEK  MERKEZLİ</w:t>
      </w:r>
      <w:proofErr w:type="gramEnd"/>
      <w:r>
        <w:t xml:space="preserve">  ÇALIŞMA: </w:t>
      </w:r>
      <w:r w:rsidR="003A1259">
        <w:t xml:space="preserve">HEMATOLOJİ  VE  </w:t>
      </w:r>
      <w:r>
        <w:t xml:space="preserve">MEDİKAL  </w:t>
      </w:r>
      <w:r w:rsidR="003A1259">
        <w:t>ONKOLOJİ  KLİNİKLERİNDEN  İSTENEN  GASTROENTEROLOJİ  KONSÜLTASYONLARI  SONUÇLARIMIZ</w:t>
      </w:r>
    </w:p>
    <w:p w:rsidR="000468FB" w:rsidRDefault="000468FB">
      <w:r>
        <w:t xml:space="preserve">A SINGLE </w:t>
      </w:r>
      <w:proofErr w:type="gramStart"/>
      <w:r>
        <w:t xml:space="preserve">CENTER </w:t>
      </w:r>
      <w:r w:rsidRPr="000468FB">
        <w:t xml:space="preserve"> STUDY</w:t>
      </w:r>
      <w:proofErr w:type="gramEnd"/>
      <w:r w:rsidRPr="000468FB">
        <w:t>: THE RESULTS OF GASTROENTEROLOGY CONSULATION REQESTED FROM HEMATOLOGY AND MEDICAL ONCOLOGY CLINICS</w:t>
      </w:r>
    </w:p>
    <w:p w:rsidR="00D73D48" w:rsidRPr="00962A37" w:rsidRDefault="00D73D48" w:rsidP="00D73D48">
      <w:pPr>
        <w:pStyle w:val="headinganchor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Genco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Gençdal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:rsidR="00D73D48" w:rsidRDefault="00D73D48" w:rsidP="00D73D48">
      <w:pPr>
        <w:pStyle w:val="headinganchor"/>
        <w:shd w:val="clear" w:color="auto" w:fill="FFFFFF"/>
        <w:spacing w:before="216" w:beforeAutospacing="0" w:after="216" w:afterAutospacing="0" w:line="302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Arial" w:hAnsi="Arial" w:cs="Arial"/>
          <w:color w:val="000000"/>
          <w:sz w:val="22"/>
          <w:szCs w:val="22"/>
        </w:rPr>
        <w:t>Yeni  Yüzyıl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ÜTF GOP Hastanesi Gastroenteroloji Kliniği</w:t>
      </w:r>
    </w:p>
    <w:p w:rsidR="003B38BE" w:rsidRDefault="003B38BE"/>
    <w:p w:rsidR="003B38BE" w:rsidRDefault="003B38BE"/>
    <w:p w:rsidR="00D73D48" w:rsidRDefault="00D73D48">
      <w:r>
        <w:t>Özet:</w:t>
      </w:r>
    </w:p>
    <w:p w:rsidR="00D73D48" w:rsidRDefault="00D73D48" w:rsidP="00D73D48">
      <w:pPr>
        <w:jc w:val="both"/>
        <w:rPr>
          <w:rFonts w:ascii="Times New Roman" w:hAnsi="Times New Roman" w:cs="Times New Roman"/>
          <w:sz w:val="24"/>
          <w:szCs w:val="24"/>
        </w:rPr>
      </w:pPr>
      <w:r>
        <w:t>Giriş ve  Amaç:</w:t>
      </w:r>
      <w:r w:rsidRPr="00D73D48">
        <w:rPr>
          <w:rFonts w:ascii="Times New Roman" w:hAnsi="Times New Roman" w:cs="Times New Roman"/>
          <w:sz w:val="24"/>
          <w:szCs w:val="24"/>
        </w:rPr>
        <w:t xml:space="preserve"> </w:t>
      </w:r>
      <w:r w:rsidRPr="0082482C">
        <w:rPr>
          <w:rFonts w:ascii="Times New Roman" w:hAnsi="Times New Roman" w:cs="Times New Roman"/>
          <w:sz w:val="24"/>
          <w:szCs w:val="24"/>
        </w:rPr>
        <w:t xml:space="preserve">Hematoloji  ve  Onkoloji  kliniklerinde  takip  edilen   hastalar  mevcut  hastalıklarına  ve aldıkları  ağır  tedavilere  bağlı  olarak    </w:t>
      </w:r>
      <w:proofErr w:type="spellStart"/>
      <w:r w:rsidRPr="0082482C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82482C">
        <w:rPr>
          <w:rFonts w:ascii="Times New Roman" w:hAnsi="Times New Roman" w:cs="Times New Roman"/>
          <w:sz w:val="24"/>
          <w:szCs w:val="24"/>
        </w:rPr>
        <w:t xml:space="preserve">-sistemik  komplikasyonlarla yüz </w:t>
      </w:r>
      <w:proofErr w:type="spellStart"/>
      <w:proofErr w:type="gramStart"/>
      <w:r w:rsidRPr="0082482C">
        <w:rPr>
          <w:rFonts w:ascii="Times New Roman" w:hAnsi="Times New Roman" w:cs="Times New Roman"/>
          <w:sz w:val="24"/>
          <w:szCs w:val="24"/>
        </w:rPr>
        <w:t>yüzedirler</w:t>
      </w:r>
      <w:proofErr w:type="spellEnd"/>
      <w:r>
        <w:rPr>
          <w:rFonts w:ascii="Times New Roman" w:hAnsi="Times New Roman" w:cs="Times New Roman"/>
          <w:sz w:val="24"/>
          <w:szCs w:val="24"/>
        </w:rPr>
        <w:t>.Bu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çalışmada  gastroen</w:t>
      </w:r>
      <w:r w:rsidRPr="0082482C">
        <w:rPr>
          <w:rFonts w:ascii="Times New Roman" w:hAnsi="Times New Roman" w:cs="Times New Roman"/>
          <w:sz w:val="24"/>
          <w:szCs w:val="24"/>
        </w:rPr>
        <w:t>teroloji  kliniğimizden Ocak  2016-  0cak  2017  tarihleri  arasında Hematoloji  ve  Medikal  Onkoloji  Klinikleri  tarafından  istenen konsültasyonları  ve  sonuçlarını  sunmayı  amaçladık.</w:t>
      </w:r>
    </w:p>
    <w:p w:rsidR="00A10659" w:rsidRDefault="00D73D48" w:rsidP="00A10659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Gereç  ve</w:t>
      </w:r>
      <w:proofErr w:type="gramEnd"/>
      <w:r>
        <w:rPr>
          <w:rFonts w:ascii="Times New Roman" w:hAnsi="Times New Roman" w:cs="Times New Roman"/>
        </w:rPr>
        <w:t xml:space="preserve">  Yöntem:</w:t>
      </w:r>
      <w:r w:rsidRPr="0082482C">
        <w:rPr>
          <w:rFonts w:ascii="Times New Roman" w:hAnsi="Times New Roman" w:cs="Times New Roman"/>
        </w:rPr>
        <w:t xml:space="preserve"> </w:t>
      </w:r>
      <w:r w:rsidR="00483786">
        <w:rPr>
          <w:rFonts w:ascii="Times New Roman" w:hAnsi="Times New Roman" w:cs="Times New Roman"/>
        </w:rPr>
        <w:t xml:space="preserve">Bu </w:t>
      </w:r>
      <w:r w:rsidR="00DE73CE">
        <w:rPr>
          <w:rFonts w:ascii="Times New Roman" w:hAnsi="Times New Roman" w:cs="Times New Roman"/>
        </w:rPr>
        <w:t xml:space="preserve">retrospektif </w:t>
      </w:r>
      <w:r w:rsidR="00483786">
        <w:rPr>
          <w:rFonts w:ascii="Times New Roman" w:hAnsi="Times New Roman" w:cs="Times New Roman"/>
        </w:rPr>
        <w:t xml:space="preserve"> çalışmada, </w:t>
      </w:r>
      <w:r w:rsidR="00A10659">
        <w:rPr>
          <w:rFonts w:ascii="Times New Roman" w:hAnsi="Times New Roman" w:cs="Times New Roman"/>
        </w:rPr>
        <w:t>Hastanemiz</w:t>
      </w:r>
      <w:r w:rsidR="00483786">
        <w:rPr>
          <w:rFonts w:ascii="Times New Roman" w:hAnsi="Times New Roman" w:cs="Times New Roman"/>
        </w:rPr>
        <w:t>in</w:t>
      </w:r>
      <w:r w:rsidR="00A10659">
        <w:rPr>
          <w:rFonts w:ascii="Times New Roman" w:hAnsi="Times New Roman" w:cs="Times New Roman"/>
        </w:rPr>
        <w:t xml:space="preserve"> Hematoloji  ve  Medikal  Onkoloji  Kliniklerinden Ocak  2016 – Ocak  2017  tarihleri  arasında  Gastroenteroloji  Kliniğinden </w:t>
      </w:r>
      <w:r w:rsidR="0022554D">
        <w:rPr>
          <w:rFonts w:ascii="Times New Roman" w:hAnsi="Times New Roman" w:cs="Times New Roman"/>
        </w:rPr>
        <w:t xml:space="preserve">istenmiş  olan  28  hastaya  ait  konsültasyonlar </w:t>
      </w:r>
      <w:r w:rsidR="00A10659">
        <w:rPr>
          <w:rFonts w:ascii="Times New Roman" w:hAnsi="Times New Roman" w:cs="Times New Roman"/>
        </w:rPr>
        <w:t>incelenmiştir.</w:t>
      </w:r>
    </w:p>
    <w:p w:rsidR="00B1241E" w:rsidRDefault="00B1241E" w:rsidP="00A10659">
      <w:pPr>
        <w:pStyle w:val="Default"/>
        <w:jc w:val="both"/>
        <w:rPr>
          <w:rFonts w:ascii="Times New Roman" w:hAnsi="Times New Roman" w:cs="Times New Roman"/>
        </w:rPr>
      </w:pPr>
    </w:p>
    <w:p w:rsidR="00B1241E" w:rsidRDefault="00DE73CE" w:rsidP="00A106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Bulgular: Çalışmaya  toplam 28  hasta  (  K:12,E:16)  alındı ve  yaş  ortalamaları 53.3±15 (21-84) tespit  </w:t>
      </w:r>
      <w:proofErr w:type="gramStart"/>
      <w:r>
        <w:rPr>
          <w:rFonts w:ascii="Times New Roman" w:hAnsi="Times New Roman" w:cs="Times New Roman"/>
        </w:rPr>
        <w:t>edilmiştir.Konsültasyon</w:t>
      </w:r>
      <w:proofErr w:type="gramEnd"/>
      <w:r>
        <w:rPr>
          <w:rFonts w:ascii="Times New Roman" w:hAnsi="Times New Roman" w:cs="Times New Roman"/>
        </w:rPr>
        <w:t xml:space="preserve">  nedenleri;</w:t>
      </w:r>
      <w:r w:rsidRPr="00DE7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hepatit  B  ve  C  tedavisi, karaciğer  fonksiyon  testleri  yüksekliği,  </w:t>
      </w:r>
      <w:proofErr w:type="spellStart"/>
      <w:r>
        <w:rPr>
          <w:rFonts w:ascii="Times New Roman" w:hAnsi="Times New Roman" w:cs="Times New Roman"/>
        </w:rPr>
        <w:t>gastrointestinal</w:t>
      </w:r>
      <w:proofErr w:type="spellEnd"/>
      <w:r>
        <w:rPr>
          <w:rFonts w:ascii="Times New Roman" w:hAnsi="Times New Roman" w:cs="Times New Roman"/>
        </w:rPr>
        <w:t xml:space="preserve">  sistem  taraması, </w:t>
      </w:r>
      <w:r w:rsidR="009E392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gastrointestinal</w:t>
      </w:r>
      <w:proofErr w:type="spellEnd"/>
      <w:r>
        <w:rPr>
          <w:rFonts w:ascii="Times New Roman" w:hAnsi="Times New Roman" w:cs="Times New Roman"/>
        </w:rPr>
        <w:t xml:space="preserve">  sistem  kanaması tetkik olup,  endoskopik  incelemeler ve ileri tetkikler sonucunda hastalara  </w:t>
      </w:r>
      <w:proofErr w:type="spellStart"/>
      <w:r>
        <w:rPr>
          <w:rFonts w:ascii="Times New Roman" w:hAnsi="Times New Roman" w:cs="Times New Roman"/>
        </w:rPr>
        <w:t>toksik</w:t>
      </w:r>
      <w:proofErr w:type="spellEnd"/>
      <w:r>
        <w:rPr>
          <w:rFonts w:ascii="Times New Roman" w:hAnsi="Times New Roman" w:cs="Times New Roman"/>
        </w:rPr>
        <w:t xml:space="preserve">  hepatit, </w:t>
      </w:r>
      <w:proofErr w:type="spellStart"/>
      <w:r>
        <w:rPr>
          <w:rFonts w:ascii="Times New Roman" w:hAnsi="Times New Roman" w:cs="Times New Roman"/>
        </w:rPr>
        <w:t>segmenter</w:t>
      </w:r>
      <w:proofErr w:type="spellEnd"/>
      <w:r>
        <w:rPr>
          <w:rFonts w:ascii="Times New Roman" w:hAnsi="Times New Roman" w:cs="Times New Roman"/>
        </w:rPr>
        <w:t xml:space="preserve">  kolit, </w:t>
      </w:r>
      <w:proofErr w:type="spellStart"/>
      <w:r>
        <w:rPr>
          <w:rFonts w:ascii="Times New Roman" w:hAnsi="Times New Roman" w:cs="Times New Roman"/>
        </w:rPr>
        <w:t>greft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versus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host</w:t>
      </w:r>
      <w:proofErr w:type="spellEnd"/>
      <w:r>
        <w:rPr>
          <w:rFonts w:ascii="Times New Roman" w:hAnsi="Times New Roman" w:cs="Times New Roman"/>
        </w:rPr>
        <w:t xml:space="preserve">, şok  karaciğeri,  </w:t>
      </w:r>
      <w:proofErr w:type="spellStart"/>
      <w:r>
        <w:rPr>
          <w:rFonts w:ascii="Times New Roman" w:hAnsi="Times New Roman" w:cs="Times New Roman"/>
        </w:rPr>
        <w:t>toksik</w:t>
      </w:r>
      <w:proofErr w:type="spellEnd"/>
      <w:r>
        <w:rPr>
          <w:rFonts w:ascii="Times New Roman" w:hAnsi="Times New Roman" w:cs="Times New Roman"/>
        </w:rPr>
        <w:t xml:space="preserve">  hepatit,</w:t>
      </w:r>
      <w:proofErr w:type="spellStart"/>
      <w:r>
        <w:rPr>
          <w:rFonts w:ascii="Times New Roman" w:hAnsi="Times New Roman" w:cs="Times New Roman"/>
        </w:rPr>
        <w:t>divertiküler</w:t>
      </w:r>
      <w:proofErr w:type="spellEnd"/>
      <w:r>
        <w:rPr>
          <w:rFonts w:ascii="Times New Roman" w:hAnsi="Times New Roman" w:cs="Times New Roman"/>
        </w:rPr>
        <w:t xml:space="preserve">  kanama tanıları  tespit  edilmiştir.</w:t>
      </w:r>
    </w:p>
    <w:p w:rsidR="001A5CAC" w:rsidRDefault="001A5CAC" w:rsidP="00A10659">
      <w:pPr>
        <w:pStyle w:val="Default"/>
        <w:jc w:val="both"/>
        <w:rPr>
          <w:rFonts w:ascii="Times New Roman" w:hAnsi="Times New Roman" w:cs="Times New Roman"/>
        </w:rPr>
      </w:pPr>
    </w:p>
    <w:p w:rsidR="00DE73CE" w:rsidRPr="000C23DC" w:rsidRDefault="00DE73CE" w:rsidP="00A106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Tartışma  ve  </w:t>
      </w:r>
      <w:proofErr w:type="gramStart"/>
      <w:r>
        <w:rPr>
          <w:rFonts w:ascii="Times New Roman" w:hAnsi="Times New Roman" w:cs="Times New Roman"/>
        </w:rPr>
        <w:t>Sonuç:</w:t>
      </w:r>
      <w:r w:rsidR="001A5CAC">
        <w:rPr>
          <w:rFonts w:ascii="Times New Roman" w:hAnsi="Times New Roman" w:cs="Times New Roman"/>
        </w:rPr>
        <w:t>Hastanemizde</w:t>
      </w:r>
      <w:proofErr w:type="gramEnd"/>
      <w:r w:rsidR="001A5CAC">
        <w:rPr>
          <w:rFonts w:ascii="Times New Roman" w:hAnsi="Times New Roman" w:cs="Times New Roman"/>
        </w:rPr>
        <w:t xml:space="preserve"> Hematoloji  ve  Onkoloji  klinikleri  tarafından takip  edilen  hastalardan  sıklıkla  gastroenteroloji  konsültasyonu  istenmektedir.Bu  konsültasyonlarla  gastroenteroloji  kliniği  olarak bu  kliniklere  hastalıkların  tanı,takip  ve  tedavi  basamaklarında katkı  sağlamaktayız. </w:t>
      </w:r>
      <w:proofErr w:type="gramStart"/>
      <w:r w:rsidR="001A5CAC">
        <w:rPr>
          <w:rFonts w:ascii="Times New Roman" w:hAnsi="Times New Roman" w:cs="Times New Roman"/>
        </w:rPr>
        <w:t>Çok  merkezli</w:t>
      </w:r>
      <w:proofErr w:type="gramEnd"/>
      <w:r w:rsidR="001A5CAC">
        <w:rPr>
          <w:rFonts w:ascii="Times New Roman" w:hAnsi="Times New Roman" w:cs="Times New Roman"/>
        </w:rPr>
        <w:t xml:space="preserve"> çalışmalarla  benzer  verilerin  derlenmesinin tıbbi literatüre katkı sağlayacağını düşünüyoruz. </w:t>
      </w:r>
    </w:p>
    <w:p w:rsidR="00D73D48" w:rsidRDefault="00D73D48" w:rsidP="00D73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8BE" w:rsidRDefault="003B38BE" w:rsidP="00D73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8BE" w:rsidRDefault="00376877" w:rsidP="00D73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Anahtar Kelimeler: </w:t>
      </w:r>
      <w:proofErr w:type="gramStart"/>
      <w:r>
        <w:rPr>
          <w:rFonts w:ascii="Times New Roman" w:hAnsi="Times New Roman" w:cs="Times New Roman"/>
          <w:sz w:val="24"/>
          <w:szCs w:val="24"/>
        </w:rPr>
        <w:t>Onkoloji,Hem</w:t>
      </w:r>
      <w:r w:rsidR="003B38BE">
        <w:rPr>
          <w:rFonts w:ascii="Times New Roman" w:hAnsi="Times New Roman" w:cs="Times New Roman"/>
          <w:sz w:val="24"/>
          <w:szCs w:val="24"/>
        </w:rPr>
        <w:t>atoloji</w:t>
      </w:r>
      <w:proofErr w:type="gramEnd"/>
      <w:r w:rsidR="003B38BE">
        <w:rPr>
          <w:rFonts w:ascii="Times New Roman" w:hAnsi="Times New Roman" w:cs="Times New Roman"/>
          <w:sz w:val="24"/>
          <w:szCs w:val="24"/>
        </w:rPr>
        <w:t>,Konsültasyonlar, Gastroenteroloji</w:t>
      </w:r>
    </w:p>
    <w:p w:rsidR="003B38BE" w:rsidRDefault="003B38BE"/>
    <w:p w:rsidR="003B38BE" w:rsidRDefault="003B38BE"/>
    <w:p w:rsidR="003B38BE" w:rsidRDefault="003B38BE"/>
    <w:p w:rsidR="003B38BE" w:rsidRDefault="003B38BE"/>
    <w:p w:rsidR="003B38BE" w:rsidRDefault="003B38BE"/>
    <w:p w:rsidR="003B38BE" w:rsidRDefault="003B38BE"/>
    <w:p w:rsidR="003B38BE" w:rsidRDefault="003B38BE"/>
    <w:p w:rsidR="003B38BE" w:rsidRDefault="003B38BE"/>
    <w:p w:rsidR="003B38BE" w:rsidRDefault="003B38BE"/>
    <w:p w:rsidR="003B38BE" w:rsidRDefault="003B38BE"/>
    <w:p w:rsidR="003B38BE" w:rsidRDefault="003B38BE"/>
    <w:p w:rsidR="003A1259" w:rsidRDefault="007F709A">
      <w:proofErr w:type="spellStart"/>
      <w:r>
        <w:t>Summary</w:t>
      </w:r>
      <w:proofErr w:type="spellEnd"/>
      <w:r>
        <w:t xml:space="preserve"> </w:t>
      </w:r>
    </w:p>
    <w:p w:rsidR="00C55CA3" w:rsidRDefault="00C55CA3">
      <w:r>
        <w:t xml:space="preserve">Background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Aim</w:t>
      </w:r>
      <w:proofErr w:type="spellEnd"/>
      <w:r w:rsidRPr="00C55CA3">
        <w:t xml:space="preserve">: </w:t>
      </w:r>
      <w:proofErr w:type="spellStart"/>
      <w:r w:rsidRPr="00C55CA3">
        <w:t>Patients</w:t>
      </w:r>
      <w:proofErr w:type="spellEnd"/>
      <w:r w:rsidRPr="00C55CA3">
        <w:t xml:space="preserve"> </w:t>
      </w:r>
      <w:proofErr w:type="spellStart"/>
      <w:r w:rsidRPr="00C55CA3">
        <w:t>who</w:t>
      </w:r>
      <w:proofErr w:type="spellEnd"/>
      <w:r w:rsidRPr="00C55CA3">
        <w:t xml:space="preserve"> </w:t>
      </w:r>
      <w:proofErr w:type="spellStart"/>
      <w:r w:rsidRPr="00C55CA3">
        <w:t>are</w:t>
      </w:r>
      <w:proofErr w:type="spellEnd"/>
      <w:r w:rsidRPr="00C55CA3">
        <w:t xml:space="preserve"> </w:t>
      </w:r>
      <w:proofErr w:type="spellStart"/>
      <w:r w:rsidRPr="00C55CA3">
        <w:t>followed</w:t>
      </w:r>
      <w:proofErr w:type="spellEnd"/>
      <w:r w:rsidRPr="00C55CA3">
        <w:t>-</w:t>
      </w:r>
      <w:proofErr w:type="spellStart"/>
      <w:r w:rsidRPr="00C55CA3">
        <w:t>up</w:t>
      </w:r>
      <w:proofErr w:type="spellEnd"/>
      <w:r w:rsidRPr="00C55CA3">
        <w:t xml:space="preserve"> in </w:t>
      </w:r>
      <w:proofErr w:type="spellStart"/>
      <w:r w:rsidRPr="00C55CA3">
        <w:t>hematology</w:t>
      </w:r>
      <w:proofErr w:type="spellEnd"/>
      <w:r w:rsidRPr="00C55CA3">
        <w:t xml:space="preserve"> </w:t>
      </w:r>
      <w:proofErr w:type="spellStart"/>
      <w:r w:rsidRPr="00C55CA3">
        <w:t>and</w:t>
      </w:r>
      <w:proofErr w:type="spellEnd"/>
      <w:r w:rsidRPr="00C55CA3">
        <w:t xml:space="preserve"> </w:t>
      </w:r>
      <w:proofErr w:type="spellStart"/>
      <w:r w:rsidRPr="00C55CA3">
        <w:t>oncology</w:t>
      </w:r>
      <w:proofErr w:type="spellEnd"/>
      <w:r w:rsidRPr="00C55CA3">
        <w:t xml:space="preserve"> </w:t>
      </w:r>
      <w:proofErr w:type="spellStart"/>
      <w:r w:rsidRPr="00C55CA3">
        <w:t>clinics</w:t>
      </w:r>
      <w:proofErr w:type="spellEnd"/>
      <w:r w:rsidRPr="00C55CA3">
        <w:t xml:space="preserve"> </w:t>
      </w:r>
      <w:proofErr w:type="spellStart"/>
      <w:r w:rsidRPr="00C55CA3">
        <w:t>face</w:t>
      </w:r>
      <w:proofErr w:type="spellEnd"/>
      <w:r w:rsidRPr="00C55CA3">
        <w:t xml:space="preserve"> </w:t>
      </w:r>
      <w:proofErr w:type="spellStart"/>
      <w:r w:rsidRPr="00C55CA3">
        <w:t>multisystemic</w:t>
      </w:r>
      <w:proofErr w:type="spellEnd"/>
      <w:r w:rsidRPr="00C55CA3">
        <w:t xml:space="preserve"> </w:t>
      </w:r>
      <w:proofErr w:type="spellStart"/>
      <w:r w:rsidRPr="00C55CA3">
        <w:t>complications</w:t>
      </w:r>
      <w:proofErr w:type="spellEnd"/>
      <w:r w:rsidRPr="00C55CA3">
        <w:t xml:space="preserve"> </w:t>
      </w:r>
      <w:proofErr w:type="spellStart"/>
      <w:r w:rsidRPr="00C55CA3">
        <w:t>due</w:t>
      </w:r>
      <w:proofErr w:type="spellEnd"/>
      <w:r w:rsidRPr="00C55CA3">
        <w:t xml:space="preserve"> </w:t>
      </w:r>
      <w:proofErr w:type="spellStart"/>
      <w:r w:rsidRPr="00C55CA3">
        <w:t>to</w:t>
      </w:r>
      <w:proofErr w:type="spellEnd"/>
      <w:r w:rsidRPr="00C55CA3">
        <w:t xml:space="preserve"> </w:t>
      </w:r>
      <w:proofErr w:type="spellStart"/>
      <w:r w:rsidRPr="00C55CA3">
        <w:t>their</w:t>
      </w:r>
      <w:proofErr w:type="spellEnd"/>
      <w:r w:rsidRPr="00C55CA3">
        <w:t xml:space="preserve"> </w:t>
      </w:r>
      <w:proofErr w:type="spellStart"/>
      <w:r w:rsidRPr="00C55CA3">
        <w:t>existing</w:t>
      </w:r>
      <w:proofErr w:type="spellEnd"/>
      <w:r w:rsidRPr="00C55CA3">
        <w:t xml:space="preserve"> </w:t>
      </w:r>
      <w:proofErr w:type="spellStart"/>
      <w:r w:rsidRPr="00C55CA3">
        <w:t>diseases</w:t>
      </w:r>
      <w:proofErr w:type="spellEnd"/>
      <w:r w:rsidRPr="00C55CA3">
        <w:t xml:space="preserve"> </w:t>
      </w:r>
      <w:proofErr w:type="spellStart"/>
      <w:r w:rsidRPr="00C55CA3">
        <w:t>and</w:t>
      </w:r>
      <w:proofErr w:type="spellEnd"/>
      <w:r w:rsidRPr="00C55CA3">
        <w:t xml:space="preserve"> severe </w:t>
      </w:r>
      <w:proofErr w:type="spellStart"/>
      <w:r w:rsidRPr="00C55CA3">
        <w:t>treatment</w:t>
      </w:r>
      <w:proofErr w:type="spellEnd"/>
      <w:r w:rsidRPr="00C55CA3">
        <w:t xml:space="preserve">. </w:t>
      </w:r>
      <w:proofErr w:type="spellStart"/>
      <w:r w:rsidRPr="00C55CA3">
        <w:t>The</w:t>
      </w:r>
      <w:proofErr w:type="spellEnd"/>
      <w:r w:rsidRPr="00C55CA3">
        <w:t xml:space="preserve"> </w:t>
      </w:r>
      <w:proofErr w:type="spellStart"/>
      <w:r w:rsidRPr="00C55CA3">
        <w:t>aim</w:t>
      </w:r>
      <w:proofErr w:type="spellEnd"/>
      <w:r w:rsidRPr="00C55CA3">
        <w:t xml:space="preserve"> of </w:t>
      </w:r>
      <w:proofErr w:type="spellStart"/>
      <w:r w:rsidRPr="00C55CA3">
        <w:t>this</w:t>
      </w:r>
      <w:proofErr w:type="spellEnd"/>
      <w:r w:rsidRPr="00C55CA3">
        <w:t xml:space="preserve"> </w:t>
      </w:r>
      <w:proofErr w:type="spellStart"/>
      <w:r w:rsidRPr="00C55CA3">
        <w:t>study</w:t>
      </w:r>
      <w:proofErr w:type="spellEnd"/>
      <w:r w:rsidRPr="00C55CA3">
        <w:t xml:space="preserve"> is </w:t>
      </w:r>
      <w:proofErr w:type="spellStart"/>
      <w:r w:rsidRPr="00C55CA3">
        <w:t>to</w:t>
      </w:r>
      <w:proofErr w:type="spellEnd"/>
      <w:r w:rsidRPr="00C55CA3">
        <w:t xml:space="preserve"> </w:t>
      </w:r>
      <w:proofErr w:type="spellStart"/>
      <w:r w:rsidRPr="00C55CA3">
        <w:t>present</w:t>
      </w:r>
      <w:proofErr w:type="spellEnd"/>
      <w:r w:rsidRPr="00C55CA3">
        <w:t xml:space="preserve"> </w:t>
      </w:r>
      <w:proofErr w:type="spellStart"/>
      <w:r w:rsidRPr="00C55CA3">
        <w:t>the</w:t>
      </w:r>
      <w:proofErr w:type="spellEnd"/>
      <w:r w:rsidRPr="00C55CA3">
        <w:t xml:space="preserve"> </w:t>
      </w:r>
      <w:proofErr w:type="spellStart"/>
      <w:proofErr w:type="gramStart"/>
      <w:r>
        <w:t>results</w:t>
      </w:r>
      <w:proofErr w:type="spellEnd"/>
      <w:r>
        <w:t xml:space="preserve">  of</w:t>
      </w:r>
      <w:proofErr w:type="gramEnd"/>
      <w:r>
        <w:t xml:space="preserve"> </w:t>
      </w:r>
      <w:proofErr w:type="spellStart"/>
      <w:r>
        <w:t>gastroenterology</w:t>
      </w:r>
      <w:proofErr w:type="spellEnd"/>
      <w:r>
        <w:t xml:space="preserve"> </w:t>
      </w:r>
      <w:proofErr w:type="spellStart"/>
      <w:r>
        <w:t>consultations</w:t>
      </w:r>
      <w:proofErr w:type="spellEnd"/>
      <w:r>
        <w:t xml:space="preserve">  </w:t>
      </w:r>
      <w:r w:rsidRPr="00C55CA3">
        <w:t xml:space="preserve"> </w:t>
      </w:r>
      <w:proofErr w:type="spellStart"/>
      <w:r w:rsidRPr="00C55CA3">
        <w:t>requested</w:t>
      </w:r>
      <w:proofErr w:type="spellEnd"/>
      <w:r w:rsidRPr="00C55CA3">
        <w:t xml:space="preserve"> </w:t>
      </w:r>
      <w:proofErr w:type="spellStart"/>
      <w:r w:rsidRPr="00C55CA3">
        <w:t>by</w:t>
      </w:r>
      <w:proofErr w:type="spellEnd"/>
      <w:r w:rsidRPr="00C55CA3">
        <w:t xml:space="preserve"> </w:t>
      </w:r>
      <w:proofErr w:type="spellStart"/>
      <w:r w:rsidRPr="00C55CA3">
        <w:t>Hematology</w:t>
      </w:r>
      <w:proofErr w:type="spellEnd"/>
      <w:r w:rsidRPr="00C55CA3">
        <w:t xml:space="preserve"> </w:t>
      </w:r>
      <w:proofErr w:type="spellStart"/>
      <w:r w:rsidRPr="00C55CA3">
        <w:t>and</w:t>
      </w:r>
      <w:proofErr w:type="spellEnd"/>
      <w:r w:rsidRPr="00C55CA3">
        <w:t xml:space="preserve"> </w:t>
      </w:r>
      <w:proofErr w:type="spellStart"/>
      <w:r w:rsidRPr="00C55CA3">
        <w:t>Medical</w:t>
      </w:r>
      <w:proofErr w:type="spellEnd"/>
      <w:r w:rsidRPr="00C55CA3">
        <w:t xml:space="preserve"> </w:t>
      </w:r>
      <w:proofErr w:type="spellStart"/>
      <w:r w:rsidRPr="00C55CA3">
        <w:t>Oncology</w:t>
      </w:r>
      <w:proofErr w:type="spellEnd"/>
      <w:r w:rsidRPr="00C55CA3">
        <w:t xml:space="preserve"> </w:t>
      </w:r>
      <w:proofErr w:type="spellStart"/>
      <w:r w:rsidRPr="00C55CA3">
        <w:t>Clinics</w:t>
      </w:r>
      <w:proofErr w:type="spellEnd"/>
      <w:r w:rsidRPr="00C55CA3">
        <w:t xml:space="preserve"> </w:t>
      </w:r>
      <w:proofErr w:type="spellStart"/>
      <w:r w:rsidRPr="00C55CA3">
        <w:t>between</w:t>
      </w:r>
      <w:proofErr w:type="spellEnd"/>
      <w:r w:rsidRPr="00C55CA3">
        <w:t xml:space="preserve"> </w:t>
      </w:r>
      <w:proofErr w:type="spellStart"/>
      <w:r w:rsidRPr="00C55CA3">
        <w:t>January</w:t>
      </w:r>
      <w:proofErr w:type="spellEnd"/>
      <w:r w:rsidRPr="00C55CA3">
        <w:t xml:space="preserve"> 2016 </w:t>
      </w:r>
      <w:proofErr w:type="spellStart"/>
      <w:r w:rsidRPr="00C55CA3">
        <w:t>and</w:t>
      </w:r>
      <w:proofErr w:type="spellEnd"/>
      <w:r w:rsidRPr="00C55CA3">
        <w:t xml:space="preserve"> </w:t>
      </w:r>
      <w:proofErr w:type="spellStart"/>
      <w:r w:rsidRPr="00C55CA3">
        <w:t>January</w:t>
      </w:r>
      <w:proofErr w:type="spellEnd"/>
      <w:r w:rsidRPr="00C55CA3">
        <w:t xml:space="preserve"> 2017.</w:t>
      </w:r>
    </w:p>
    <w:p w:rsidR="00C55CA3" w:rsidRDefault="00C55CA3" w:rsidP="00C55CA3">
      <w:proofErr w:type="spellStart"/>
      <w:r>
        <w:t>Materials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: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retrospective</w:t>
      </w:r>
      <w:proofErr w:type="spellEnd"/>
      <w:r>
        <w:t xml:space="preserve"> </w:t>
      </w:r>
      <w:proofErr w:type="spellStart"/>
      <w:proofErr w:type="gramStart"/>
      <w:r>
        <w:t>study</w:t>
      </w:r>
      <w:proofErr w:type="spellEnd"/>
      <w:r>
        <w:t>,</w:t>
      </w:r>
      <w:proofErr w:type="spellStart"/>
      <w:r>
        <w:t>we</w:t>
      </w:r>
      <w:proofErr w:type="spellEnd"/>
      <w:proofErr w:type="gramEnd"/>
      <w:r>
        <w:t xml:space="preserve">  </w:t>
      </w:r>
      <w:proofErr w:type="spellStart"/>
      <w:r>
        <w:t>investigated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results</w:t>
      </w:r>
      <w:proofErr w:type="spellEnd"/>
      <w:r>
        <w:t xml:space="preserve">  of </w:t>
      </w:r>
      <w:proofErr w:type="spellStart"/>
      <w:r>
        <w:t>gastroenterology</w:t>
      </w:r>
      <w:proofErr w:type="spellEnd"/>
      <w:r>
        <w:t xml:space="preserve">  </w:t>
      </w:r>
      <w:proofErr w:type="spellStart"/>
      <w:r>
        <w:t>consultations</w:t>
      </w:r>
      <w:proofErr w:type="spellEnd"/>
      <w:r>
        <w:t xml:space="preserve"> </w:t>
      </w:r>
      <w:r w:rsidRPr="00C55CA3"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Hematology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Oncology</w:t>
      </w:r>
      <w:proofErr w:type="spellEnd"/>
      <w:r>
        <w:t xml:space="preserve"> </w:t>
      </w:r>
      <w:proofErr w:type="spellStart"/>
      <w:r>
        <w:t>Clinics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2016 - </w:t>
      </w:r>
      <w:proofErr w:type="spellStart"/>
      <w:r>
        <w:t>January</w:t>
      </w:r>
      <w:proofErr w:type="spellEnd"/>
      <w:r>
        <w:t xml:space="preserve"> 2017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 xml:space="preserve"> .</w:t>
      </w:r>
    </w:p>
    <w:p w:rsidR="00C55CA3" w:rsidRDefault="00C55CA3" w:rsidP="00C55CA3">
      <w:proofErr w:type="spellStart"/>
      <w:r>
        <w:t>Findings</w:t>
      </w:r>
      <w:proofErr w:type="spellEnd"/>
      <w:r>
        <w:t xml:space="preserve">: A total of 28 </w:t>
      </w:r>
      <w:proofErr w:type="spellStart"/>
      <w:r>
        <w:t>patients</w:t>
      </w:r>
      <w:proofErr w:type="spellEnd"/>
      <w:r>
        <w:t xml:space="preserve"> (K: 12, E: 16)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</w:t>
      </w:r>
      <w:r w:rsidR="009E392F">
        <w:t>ean</w:t>
      </w:r>
      <w:proofErr w:type="spellEnd"/>
      <w:r w:rsidR="009E392F">
        <w:t xml:space="preserve"> </w:t>
      </w:r>
      <w:proofErr w:type="spellStart"/>
      <w:r w:rsidR="009E392F">
        <w:t>age</w:t>
      </w:r>
      <w:proofErr w:type="spellEnd"/>
      <w:r w:rsidR="009E392F">
        <w:t xml:space="preserve"> </w:t>
      </w:r>
      <w:proofErr w:type="spellStart"/>
      <w:r w:rsidR="009E392F">
        <w:t>was</w:t>
      </w:r>
      <w:proofErr w:type="spellEnd"/>
      <w:r w:rsidR="009E392F">
        <w:t xml:space="preserve"> </w:t>
      </w:r>
      <w:proofErr w:type="gramStart"/>
      <w:r w:rsidR="009E392F">
        <w:t>53.3</w:t>
      </w:r>
      <w:proofErr w:type="gramEnd"/>
      <w:r w:rsidR="009E392F">
        <w:t xml:space="preserve"> ± 15 (21-84). </w:t>
      </w:r>
      <w:proofErr w:type="spellStart"/>
      <w:r w:rsidR="009E392F">
        <w:t>H</w:t>
      </w:r>
      <w:r>
        <w:t>epatitis</w:t>
      </w:r>
      <w:proofErr w:type="spellEnd"/>
      <w:r>
        <w:t xml:space="preserve"> B </w:t>
      </w:r>
      <w:proofErr w:type="spellStart"/>
      <w:r>
        <w:t>and</w:t>
      </w:r>
      <w:proofErr w:type="spellEnd"/>
      <w:r>
        <w:t xml:space="preserve"> C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elevated</w:t>
      </w:r>
      <w:proofErr w:type="spellEnd"/>
      <w:r>
        <w:t xml:space="preserve"> </w:t>
      </w:r>
      <w:proofErr w:type="spellStart"/>
      <w:r>
        <w:t>liver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, </w:t>
      </w:r>
      <w:proofErr w:type="spellStart"/>
      <w:r>
        <w:t>gastrointestinal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 w:rsidR="009E392F">
        <w:t>screening</w:t>
      </w:r>
      <w:proofErr w:type="spellEnd"/>
      <w:r>
        <w:t xml:space="preserve">, </w:t>
      </w:r>
      <w:proofErr w:type="spellStart"/>
      <w:r>
        <w:t>gastrointestinal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hemorrhage</w:t>
      </w:r>
      <w:proofErr w:type="spellEnd"/>
      <w:r w:rsidR="009E392F">
        <w:t xml:space="preserve"> </w:t>
      </w:r>
      <w:proofErr w:type="spellStart"/>
      <w:r w:rsidR="009E392F">
        <w:t>were</w:t>
      </w:r>
      <w:proofErr w:type="spellEnd"/>
      <w:r w:rsidR="009E392F">
        <w:t xml:space="preserve">  </w:t>
      </w:r>
      <w:proofErr w:type="spellStart"/>
      <w:r w:rsidR="009E392F">
        <w:t>defined</w:t>
      </w:r>
      <w:proofErr w:type="spellEnd"/>
      <w:r w:rsidR="009E392F">
        <w:t xml:space="preserve"> as </w:t>
      </w:r>
      <w:proofErr w:type="spellStart"/>
      <w:r w:rsidR="009E392F">
        <w:t>the</w:t>
      </w:r>
      <w:proofErr w:type="spellEnd"/>
      <w:r w:rsidR="009E392F">
        <w:t xml:space="preserve"> </w:t>
      </w:r>
      <w:proofErr w:type="spellStart"/>
      <w:r w:rsidR="009E392F">
        <w:t>most</w:t>
      </w:r>
      <w:proofErr w:type="spellEnd"/>
      <w:r w:rsidR="009E392F">
        <w:t xml:space="preserve">  </w:t>
      </w:r>
      <w:proofErr w:type="spellStart"/>
      <w:r w:rsidR="009E392F">
        <w:t>common</w:t>
      </w:r>
      <w:proofErr w:type="spellEnd"/>
      <w:r w:rsidR="009E392F">
        <w:t xml:space="preserve">  </w:t>
      </w:r>
      <w:proofErr w:type="spellStart"/>
      <w:r w:rsidR="009E392F">
        <w:t>causes</w:t>
      </w:r>
      <w:proofErr w:type="spellEnd"/>
      <w:r w:rsidR="009E392F">
        <w:t xml:space="preserve">   of  </w:t>
      </w:r>
      <w:proofErr w:type="spellStart"/>
      <w:proofErr w:type="gramStart"/>
      <w:r w:rsidR="009E392F">
        <w:t>consultations</w:t>
      </w:r>
      <w:proofErr w:type="spellEnd"/>
      <w:r w:rsidR="009E392F">
        <w:t xml:space="preserve"> </w:t>
      </w:r>
      <w:r>
        <w:t>.</w:t>
      </w:r>
      <w:proofErr w:type="gramEnd"/>
      <w:r>
        <w:t xml:space="preserve"> </w:t>
      </w:r>
      <w:proofErr w:type="spellStart"/>
      <w:r w:rsidR="009E392F">
        <w:t>After</w:t>
      </w:r>
      <w:proofErr w:type="spellEnd"/>
      <w:r w:rsidR="009E392F">
        <w:t xml:space="preserve"> </w:t>
      </w:r>
      <w:proofErr w:type="spellStart"/>
      <w:r>
        <w:t>Endoscopic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tests</w:t>
      </w:r>
      <w:proofErr w:type="spellEnd"/>
      <w:r w:rsidR="009E392F">
        <w:t>;</w:t>
      </w:r>
      <w:r>
        <w:t xml:space="preserve">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hepatitis</w:t>
      </w:r>
      <w:proofErr w:type="spellEnd"/>
      <w:r>
        <w:t xml:space="preserve">, </w:t>
      </w:r>
      <w:proofErr w:type="spellStart"/>
      <w:r>
        <w:t>segmental</w:t>
      </w:r>
      <w:proofErr w:type="spellEnd"/>
      <w:r>
        <w:t xml:space="preserve"> </w:t>
      </w:r>
      <w:proofErr w:type="spellStart"/>
      <w:r>
        <w:t>colitis</w:t>
      </w:r>
      <w:proofErr w:type="spellEnd"/>
      <w:r>
        <w:t xml:space="preserve">, </w:t>
      </w:r>
      <w:proofErr w:type="spellStart"/>
      <w:r>
        <w:t>graft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, </w:t>
      </w:r>
      <w:proofErr w:type="spellStart"/>
      <w:r>
        <w:t>shock</w:t>
      </w:r>
      <w:proofErr w:type="spellEnd"/>
      <w:r>
        <w:t xml:space="preserve"> </w:t>
      </w:r>
      <w:proofErr w:type="spellStart"/>
      <w:r>
        <w:t>liver</w:t>
      </w:r>
      <w:proofErr w:type="spellEnd"/>
      <w:r>
        <w:t xml:space="preserve">,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hepatitis</w:t>
      </w:r>
      <w:proofErr w:type="spellEnd"/>
      <w:r>
        <w:t xml:space="preserve">, </w:t>
      </w:r>
      <w:proofErr w:type="spellStart"/>
      <w:proofErr w:type="gramStart"/>
      <w:r>
        <w:t>diverticula</w:t>
      </w:r>
      <w:r w:rsidR="009E392F">
        <w:t>r</w:t>
      </w:r>
      <w:proofErr w:type="spellEnd"/>
      <w:r w:rsidR="009E392F">
        <w:t xml:space="preserve"> </w:t>
      </w:r>
      <w:r>
        <w:t xml:space="preserve"> </w:t>
      </w:r>
      <w:proofErr w:type="spellStart"/>
      <w:r>
        <w:t>hemorrhage</w:t>
      </w:r>
      <w:proofErr w:type="spellEnd"/>
      <w:proofErr w:type="gramEnd"/>
      <w:r>
        <w:t xml:space="preserve"> </w:t>
      </w:r>
      <w:proofErr w:type="spellStart"/>
      <w:r>
        <w:t>diagnoses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>.</w:t>
      </w:r>
    </w:p>
    <w:p w:rsidR="009E392F" w:rsidRDefault="009E392F" w:rsidP="00C55CA3">
      <w:proofErr w:type="spellStart"/>
      <w:r w:rsidRPr="009E392F">
        <w:t>Discussion</w:t>
      </w:r>
      <w:proofErr w:type="spellEnd"/>
      <w:r w:rsidRPr="009E392F">
        <w:t xml:space="preserve"> </w:t>
      </w:r>
      <w:proofErr w:type="spellStart"/>
      <w:r w:rsidRPr="009E392F">
        <w:t>and</w:t>
      </w:r>
      <w:proofErr w:type="spellEnd"/>
      <w:r w:rsidRPr="009E392F">
        <w:t xml:space="preserve"> </w:t>
      </w:r>
      <w:proofErr w:type="spellStart"/>
      <w:r w:rsidRPr="009E392F">
        <w:t>Conclusion</w:t>
      </w:r>
      <w:proofErr w:type="spellEnd"/>
      <w:r w:rsidRPr="009E392F">
        <w:t xml:space="preserve">: </w:t>
      </w:r>
      <w:proofErr w:type="spellStart"/>
      <w:r w:rsidRPr="009E392F">
        <w:t>Gastroenterology</w:t>
      </w:r>
      <w:proofErr w:type="spellEnd"/>
      <w:r w:rsidRPr="009E392F">
        <w:t xml:space="preserve"> </w:t>
      </w:r>
      <w:proofErr w:type="spellStart"/>
      <w:r w:rsidRPr="009E392F">
        <w:t>consultation</w:t>
      </w:r>
      <w:r w:rsidR="003D1E7C">
        <w:t>s</w:t>
      </w:r>
      <w:proofErr w:type="spellEnd"/>
      <w:r w:rsidR="003D1E7C">
        <w:t xml:space="preserve"> </w:t>
      </w:r>
      <w:proofErr w:type="spellStart"/>
      <w:proofErr w:type="gramStart"/>
      <w:r w:rsidR="003D1E7C">
        <w:t>are</w:t>
      </w:r>
      <w:proofErr w:type="spellEnd"/>
      <w:r w:rsidR="003D1E7C">
        <w:t xml:space="preserve"> </w:t>
      </w:r>
      <w:r w:rsidRPr="009E392F">
        <w:t xml:space="preserve"> </w:t>
      </w:r>
      <w:proofErr w:type="spellStart"/>
      <w:r w:rsidRPr="009E392F">
        <w:t>frequently</w:t>
      </w:r>
      <w:proofErr w:type="spellEnd"/>
      <w:proofErr w:type="gramEnd"/>
      <w:r w:rsidRPr="009E392F">
        <w:t xml:space="preserve"> </w:t>
      </w:r>
      <w:proofErr w:type="spellStart"/>
      <w:r w:rsidRPr="009E392F">
        <w:t>requested</w:t>
      </w:r>
      <w:proofErr w:type="spellEnd"/>
      <w:r w:rsidRPr="009E392F">
        <w:t xml:space="preserve"> </w:t>
      </w:r>
      <w:proofErr w:type="spellStart"/>
      <w:r w:rsidRPr="009E392F">
        <w:t>from</w:t>
      </w:r>
      <w:proofErr w:type="spellEnd"/>
      <w:r w:rsidRPr="009E392F">
        <w:t xml:space="preserve"> </w:t>
      </w:r>
      <w:proofErr w:type="spellStart"/>
      <w:r w:rsidRPr="009E392F">
        <w:t>the</w:t>
      </w:r>
      <w:proofErr w:type="spellEnd"/>
      <w:r w:rsidRPr="009E392F">
        <w:t xml:space="preserve"> </w:t>
      </w:r>
      <w:proofErr w:type="spellStart"/>
      <w:r w:rsidRPr="009E392F">
        <w:t>patients</w:t>
      </w:r>
      <w:proofErr w:type="spellEnd"/>
      <w:r w:rsidRPr="009E392F">
        <w:t xml:space="preserve"> </w:t>
      </w:r>
      <w:proofErr w:type="spellStart"/>
      <w:r w:rsidRPr="009E392F">
        <w:t>who</w:t>
      </w:r>
      <w:proofErr w:type="spellEnd"/>
      <w:r w:rsidRPr="009E392F">
        <w:t xml:space="preserve"> </w:t>
      </w:r>
      <w:proofErr w:type="spellStart"/>
      <w:r w:rsidRPr="009E392F">
        <w:t>are</w:t>
      </w:r>
      <w:proofErr w:type="spellEnd"/>
      <w:r w:rsidRPr="009E392F">
        <w:t xml:space="preserve"> </w:t>
      </w:r>
      <w:proofErr w:type="spellStart"/>
      <w:r w:rsidRPr="009E392F">
        <w:t>followed</w:t>
      </w:r>
      <w:proofErr w:type="spellEnd"/>
      <w:r w:rsidRPr="009E392F">
        <w:t xml:space="preserve"> </w:t>
      </w:r>
      <w:proofErr w:type="spellStart"/>
      <w:r w:rsidRPr="009E392F">
        <w:t>by</w:t>
      </w:r>
      <w:proofErr w:type="spellEnd"/>
      <w:r w:rsidRPr="009E392F">
        <w:t xml:space="preserve"> </w:t>
      </w:r>
      <w:proofErr w:type="spellStart"/>
      <w:r w:rsidRPr="009E392F">
        <w:t>hematology</w:t>
      </w:r>
      <w:proofErr w:type="spellEnd"/>
      <w:r w:rsidRPr="009E392F">
        <w:t xml:space="preserve"> </w:t>
      </w:r>
      <w:proofErr w:type="spellStart"/>
      <w:r w:rsidRPr="009E392F">
        <w:t>and</w:t>
      </w:r>
      <w:proofErr w:type="spellEnd"/>
      <w:r w:rsidRPr="009E392F">
        <w:t xml:space="preserve"> </w:t>
      </w:r>
      <w:proofErr w:type="spellStart"/>
      <w:r w:rsidRPr="009E392F">
        <w:t>oncology</w:t>
      </w:r>
      <w:proofErr w:type="spellEnd"/>
      <w:r w:rsidRPr="009E392F">
        <w:t xml:space="preserve"> </w:t>
      </w:r>
      <w:proofErr w:type="spellStart"/>
      <w:r w:rsidR="003B38BE">
        <w:t>clinics</w:t>
      </w:r>
      <w:proofErr w:type="spellEnd"/>
      <w:r w:rsidR="003B38BE">
        <w:t xml:space="preserve"> in </w:t>
      </w:r>
      <w:proofErr w:type="spellStart"/>
      <w:r w:rsidR="003B38BE">
        <w:t>our</w:t>
      </w:r>
      <w:proofErr w:type="spellEnd"/>
      <w:r w:rsidR="003B38BE">
        <w:t xml:space="preserve"> </w:t>
      </w:r>
      <w:proofErr w:type="spellStart"/>
      <w:r w:rsidR="003B38BE">
        <w:t>hospital</w:t>
      </w:r>
      <w:proofErr w:type="spellEnd"/>
      <w:r w:rsidR="003B38BE">
        <w:t xml:space="preserve">. </w:t>
      </w:r>
      <w:proofErr w:type="spellStart"/>
      <w:r w:rsidR="003B38BE">
        <w:t>We</w:t>
      </w:r>
      <w:proofErr w:type="spellEnd"/>
      <w:r w:rsidR="003B38BE">
        <w:t xml:space="preserve"> </w:t>
      </w:r>
      <w:proofErr w:type="spellStart"/>
      <w:proofErr w:type="gramStart"/>
      <w:r w:rsidR="003B38BE">
        <w:t>usuallly</w:t>
      </w:r>
      <w:proofErr w:type="spellEnd"/>
      <w:r w:rsidR="003B38BE">
        <w:t xml:space="preserve"> </w:t>
      </w:r>
      <w:r w:rsidRPr="009E392F">
        <w:t xml:space="preserve"> </w:t>
      </w:r>
      <w:proofErr w:type="spellStart"/>
      <w:r w:rsidRPr="009E392F">
        <w:t>contribute</w:t>
      </w:r>
      <w:proofErr w:type="spellEnd"/>
      <w:proofErr w:type="gramEnd"/>
      <w:r w:rsidRPr="009E392F">
        <w:t xml:space="preserve"> </w:t>
      </w:r>
      <w:proofErr w:type="spellStart"/>
      <w:r w:rsidRPr="009E392F">
        <w:t>to</w:t>
      </w:r>
      <w:proofErr w:type="spellEnd"/>
      <w:r w:rsidRPr="009E392F">
        <w:t xml:space="preserve"> </w:t>
      </w:r>
      <w:proofErr w:type="spellStart"/>
      <w:r w:rsidRPr="009E392F">
        <w:t>diagnosis</w:t>
      </w:r>
      <w:proofErr w:type="spellEnd"/>
      <w:r w:rsidRPr="009E392F">
        <w:t xml:space="preserve">, </w:t>
      </w:r>
      <w:proofErr w:type="spellStart"/>
      <w:r w:rsidRPr="009E392F">
        <w:t>follow</w:t>
      </w:r>
      <w:proofErr w:type="spellEnd"/>
      <w:r w:rsidRPr="009E392F">
        <w:t>-</w:t>
      </w:r>
      <w:proofErr w:type="spellStart"/>
      <w:r w:rsidRPr="009E392F">
        <w:t>up</w:t>
      </w:r>
      <w:proofErr w:type="spellEnd"/>
      <w:r w:rsidRPr="009E392F">
        <w:t xml:space="preserve"> </w:t>
      </w:r>
      <w:proofErr w:type="spellStart"/>
      <w:r w:rsidRPr="009E392F">
        <w:t>and</w:t>
      </w:r>
      <w:proofErr w:type="spellEnd"/>
      <w:r w:rsidRPr="009E392F">
        <w:t xml:space="preserve"> </w:t>
      </w:r>
      <w:proofErr w:type="spellStart"/>
      <w:r w:rsidRPr="009E392F">
        <w:t>treatment</w:t>
      </w:r>
      <w:proofErr w:type="spellEnd"/>
      <w:r w:rsidRPr="009E392F">
        <w:t xml:space="preserve"> </w:t>
      </w:r>
      <w:proofErr w:type="spellStart"/>
      <w:r w:rsidRPr="009E392F">
        <w:t>stages</w:t>
      </w:r>
      <w:proofErr w:type="spellEnd"/>
      <w:r w:rsidRPr="009E392F">
        <w:t xml:space="preserve"> of </w:t>
      </w:r>
      <w:proofErr w:type="spellStart"/>
      <w:r w:rsidR="003B38BE">
        <w:t>these</w:t>
      </w:r>
      <w:proofErr w:type="spellEnd"/>
      <w:r w:rsidR="003B38BE">
        <w:t xml:space="preserve"> </w:t>
      </w:r>
      <w:proofErr w:type="spellStart"/>
      <w:r w:rsidR="003B38BE">
        <w:t>clinics</w:t>
      </w:r>
      <w:proofErr w:type="spellEnd"/>
      <w:r w:rsidRPr="009E392F">
        <w:t xml:space="preserve">. </w:t>
      </w:r>
      <w:proofErr w:type="spellStart"/>
      <w:r w:rsidRPr="009E392F">
        <w:t>We</w:t>
      </w:r>
      <w:proofErr w:type="spellEnd"/>
      <w:r w:rsidRPr="009E392F">
        <w:t xml:space="preserve"> </w:t>
      </w:r>
      <w:proofErr w:type="spellStart"/>
      <w:r w:rsidRPr="009E392F">
        <w:t>think</w:t>
      </w:r>
      <w:proofErr w:type="spellEnd"/>
      <w:r w:rsidRPr="009E392F">
        <w:t xml:space="preserve"> </w:t>
      </w:r>
      <w:proofErr w:type="spellStart"/>
      <w:r w:rsidRPr="009E392F">
        <w:t>that</w:t>
      </w:r>
      <w:proofErr w:type="spellEnd"/>
      <w:r w:rsidRPr="009E392F">
        <w:t xml:space="preserve"> </w:t>
      </w:r>
      <w:proofErr w:type="spellStart"/>
      <w:r w:rsidRPr="009E392F">
        <w:t>the</w:t>
      </w:r>
      <w:proofErr w:type="spellEnd"/>
      <w:r w:rsidRPr="009E392F">
        <w:t xml:space="preserve"> </w:t>
      </w:r>
      <w:proofErr w:type="spellStart"/>
      <w:r w:rsidRPr="009E392F">
        <w:t>collection</w:t>
      </w:r>
      <w:proofErr w:type="spellEnd"/>
      <w:r w:rsidRPr="009E392F">
        <w:t xml:space="preserve"> of </w:t>
      </w:r>
      <w:proofErr w:type="spellStart"/>
      <w:r w:rsidRPr="009E392F">
        <w:t>similar</w:t>
      </w:r>
      <w:proofErr w:type="spellEnd"/>
      <w:r w:rsidRPr="009E392F">
        <w:t xml:space="preserve"> </w:t>
      </w:r>
      <w:proofErr w:type="gramStart"/>
      <w:r w:rsidRPr="009E392F">
        <w:t>data</w:t>
      </w:r>
      <w:proofErr w:type="gramEnd"/>
      <w:r w:rsidRPr="009E392F">
        <w:t xml:space="preserve"> </w:t>
      </w:r>
      <w:proofErr w:type="spellStart"/>
      <w:r w:rsidRPr="009E392F">
        <w:t>with</w:t>
      </w:r>
      <w:proofErr w:type="spellEnd"/>
      <w:r w:rsidRPr="009E392F">
        <w:t xml:space="preserve"> </w:t>
      </w:r>
      <w:proofErr w:type="spellStart"/>
      <w:r w:rsidRPr="009E392F">
        <w:t>multicentre</w:t>
      </w:r>
      <w:proofErr w:type="spellEnd"/>
      <w:r w:rsidRPr="009E392F">
        <w:t xml:space="preserve"> </w:t>
      </w:r>
      <w:proofErr w:type="spellStart"/>
      <w:r w:rsidRPr="009E392F">
        <w:t>studies</w:t>
      </w:r>
      <w:proofErr w:type="spellEnd"/>
      <w:r w:rsidRPr="009E392F">
        <w:t xml:space="preserve"> </w:t>
      </w:r>
      <w:proofErr w:type="spellStart"/>
      <w:r w:rsidRPr="009E392F">
        <w:t>will</w:t>
      </w:r>
      <w:proofErr w:type="spellEnd"/>
      <w:r w:rsidRPr="009E392F">
        <w:t xml:space="preserve"> </w:t>
      </w:r>
      <w:proofErr w:type="spellStart"/>
      <w:r w:rsidRPr="009E392F">
        <w:t>contribute</w:t>
      </w:r>
      <w:proofErr w:type="spellEnd"/>
      <w:r w:rsidRPr="009E392F">
        <w:t xml:space="preserve"> </w:t>
      </w:r>
      <w:proofErr w:type="spellStart"/>
      <w:r w:rsidRPr="009E392F">
        <w:t>to</w:t>
      </w:r>
      <w:proofErr w:type="spellEnd"/>
      <w:r w:rsidRPr="009E392F">
        <w:t xml:space="preserve"> </w:t>
      </w:r>
      <w:proofErr w:type="spellStart"/>
      <w:r w:rsidRPr="009E392F">
        <w:t>the</w:t>
      </w:r>
      <w:proofErr w:type="spellEnd"/>
      <w:r w:rsidRPr="009E392F">
        <w:t xml:space="preserve"> </w:t>
      </w:r>
      <w:proofErr w:type="spellStart"/>
      <w:r w:rsidRPr="009E392F">
        <w:t>medical</w:t>
      </w:r>
      <w:proofErr w:type="spellEnd"/>
      <w:r w:rsidRPr="009E392F">
        <w:t xml:space="preserve"> </w:t>
      </w:r>
      <w:proofErr w:type="spellStart"/>
      <w:r w:rsidRPr="009E392F">
        <w:t>literature</w:t>
      </w:r>
      <w:proofErr w:type="spellEnd"/>
      <w:r w:rsidRPr="009E392F">
        <w:t>.</w:t>
      </w:r>
    </w:p>
    <w:p w:rsidR="003B38BE" w:rsidRDefault="003B38BE" w:rsidP="00C55CA3">
      <w:proofErr w:type="spellStart"/>
      <w:r>
        <w:t>Keywords</w:t>
      </w:r>
      <w:proofErr w:type="spellEnd"/>
      <w:r>
        <w:t xml:space="preserve">: </w:t>
      </w:r>
      <w:proofErr w:type="spellStart"/>
      <w:r>
        <w:t>Oncology</w:t>
      </w:r>
      <w:proofErr w:type="spellEnd"/>
      <w:r>
        <w:t xml:space="preserve">,  </w:t>
      </w:r>
      <w:proofErr w:type="spellStart"/>
      <w:r>
        <w:t>Hematology</w:t>
      </w:r>
      <w:proofErr w:type="spellEnd"/>
      <w:r>
        <w:t xml:space="preserve">, </w:t>
      </w:r>
      <w:proofErr w:type="spellStart"/>
      <w:proofErr w:type="gramStart"/>
      <w:r>
        <w:t>Consultations</w:t>
      </w:r>
      <w:proofErr w:type="spellEnd"/>
      <w:r>
        <w:t>,</w:t>
      </w:r>
      <w:proofErr w:type="spellStart"/>
      <w:r>
        <w:t>Gastroenterology</w:t>
      </w:r>
      <w:proofErr w:type="spellEnd"/>
      <w:proofErr w:type="gramEnd"/>
    </w:p>
    <w:p w:rsidR="009E392F" w:rsidRDefault="009E392F" w:rsidP="00C55CA3"/>
    <w:p w:rsidR="007F709A" w:rsidRDefault="007F709A"/>
    <w:p w:rsidR="007F709A" w:rsidRDefault="007F709A"/>
    <w:p w:rsidR="003B38BE" w:rsidRDefault="003B38BE"/>
    <w:p w:rsidR="003B38BE" w:rsidRDefault="003B38BE"/>
    <w:p w:rsidR="003B38BE" w:rsidRDefault="003B38BE"/>
    <w:p w:rsidR="003B38BE" w:rsidRDefault="003B38BE"/>
    <w:p w:rsidR="003B38BE" w:rsidRDefault="003B38BE"/>
    <w:p w:rsidR="003B38BE" w:rsidRDefault="003B38BE"/>
    <w:p w:rsidR="003A1259" w:rsidRDefault="003A1259">
      <w:r>
        <w:t>Giriş:</w:t>
      </w:r>
    </w:p>
    <w:p w:rsidR="003A1259" w:rsidRPr="0082482C" w:rsidRDefault="0082482C" w:rsidP="008248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82C">
        <w:rPr>
          <w:rFonts w:ascii="Times New Roman" w:hAnsi="Times New Roman" w:cs="Times New Roman"/>
          <w:sz w:val="24"/>
          <w:szCs w:val="24"/>
        </w:rPr>
        <w:t>Hematoloji  ve</w:t>
      </w:r>
      <w:proofErr w:type="gramEnd"/>
      <w:r w:rsidRPr="0082482C">
        <w:rPr>
          <w:rFonts w:ascii="Times New Roman" w:hAnsi="Times New Roman" w:cs="Times New Roman"/>
          <w:sz w:val="24"/>
          <w:szCs w:val="24"/>
        </w:rPr>
        <w:t xml:space="preserve">  Onkoloji  kliniklerinde  takip  edilen   hastalar  mevcut  hastalıklarına  ve aldıkları  ağır  tedavilere  bağlı  olarak    </w:t>
      </w:r>
      <w:proofErr w:type="spellStart"/>
      <w:r w:rsidRPr="0082482C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82482C">
        <w:rPr>
          <w:rFonts w:ascii="Times New Roman" w:hAnsi="Times New Roman" w:cs="Times New Roman"/>
          <w:sz w:val="24"/>
          <w:szCs w:val="24"/>
        </w:rPr>
        <w:t xml:space="preserve">-sistemik  komplikasyonlarla yüz </w:t>
      </w:r>
      <w:proofErr w:type="spellStart"/>
      <w:r w:rsidRPr="0082482C">
        <w:rPr>
          <w:rFonts w:ascii="Times New Roman" w:hAnsi="Times New Roman" w:cs="Times New Roman"/>
          <w:sz w:val="24"/>
          <w:szCs w:val="24"/>
        </w:rPr>
        <w:t>yüzedirler</w:t>
      </w:r>
      <w:proofErr w:type="spellEnd"/>
      <w:r w:rsidRPr="0082482C">
        <w:rPr>
          <w:rFonts w:ascii="Times New Roman" w:hAnsi="Times New Roman" w:cs="Times New Roman"/>
          <w:sz w:val="24"/>
          <w:szCs w:val="24"/>
        </w:rPr>
        <w:t xml:space="preserve"> (uzamış  </w:t>
      </w:r>
      <w:proofErr w:type="spellStart"/>
      <w:r w:rsidRPr="0082482C">
        <w:rPr>
          <w:rFonts w:ascii="Times New Roman" w:hAnsi="Times New Roman" w:cs="Times New Roman"/>
          <w:sz w:val="24"/>
          <w:szCs w:val="24"/>
        </w:rPr>
        <w:t>sitopeniler</w:t>
      </w:r>
      <w:proofErr w:type="spellEnd"/>
      <w:r w:rsidRPr="0082482C">
        <w:rPr>
          <w:rFonts w:ascii="Times New Roman" w:hAnsi="Times New Roman" w:cs="Times New Roman"/>
          <w:sz w:val="24"/>
          <w:szCs w:val="24"/>
        </w:rPr>
        <w:t xml:space="preserve">, kanamalar, karaciğer ve böbrek bozuklukları, anemi, </w:t>
      </w:r>
      <w:proofErr w:type="spellStart"/>
      <w:r w:rsidRPr="0082482C">
        <w:rPr>
          <w:rFonts w:ascii="Times New Roman" w:hAnsi="Times New Roman" w:cs="Times New Roman"/>
          <w:sz w:val="24"/>
          <w:szCs w:val="24"/>
        </w:rPr>
        <w:t>infeksiyonlar</w:t>
      </w:r>
      <w:proofErr w:type="spellEnd"/>
      <w:r w:rsidRPr="0082482C">
        <w:rPr>
          <w:rFonts w:ascii="Times New Roman" w:hAnsi="Times New Roman" w:cs="Times New Roman"/>
          <w:sz w:val="24"/>
          <w:szCs w:val="24"/>
        </w:rPr>
        <w:t xml:space="preserve"> vs.). Bu sorunlar,  yeni geliştirilen ilaçlar;  antibiyotikler,  </w:t>
      </w:r>
      <w:proofErr w:type="spellStart"/>
      <w:r w:rsidRPr="0082482C">
        <w:rPr>
          <w:rFonts w:ascii="Times New Roman" w:hAnsi="Times New Roman" w:cs="Times New Roman"/>
          <w:sz w:val="24"/>
          <w:szCs w:val="24"/>
        </w:rPr>
        <w:t>antifungaller</w:t>
      </w:r>
      <w:proofErr w:type="spellEnd"/>
      <w:r w:rsidRPr="00824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82C">
        <w:rPr>
          <w:rFonts w:ascii="Times New Roman" w:hAnsi="Times New Roman" w:cs="Times New Roman"/>
          <w:sz w:val="24"/>
          <w:szCs w:val="24"/>
        </w:rPr>
        <w:t>antiemetikler</w:t>
      </w:r>
      <w:proofErr w:type="spellEnd"/>
      <w:r w:rsidRPr="00824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82C">
        <w:rPr>
          <w:rFonts w:ascii="Times New Roman" w:hAnsi="Times New Roman" w:cs="Times New Roman"/>
          <w:sz w:val="24"/>
          <w:szCs w:val="24"/>
        </w:rPr>
        <w:t>antiviralller</w:t>
      </w:r>
      <w:proofErr w:type="spellEnd"/>
      <w:r w:rsidRPr="0082482C">
        <w:rPr>
          <w:rFonts w:ascii="Times New Roman" w:hAnsi="Times New Roman" w:cs="Times New Roman"/>
          <w:sz w:val="24"/>
          <w:szCs w:val="24"/>
        </w:rPr>
        <w:t xml:space="preserve"> vs.  ile  etkili olarak kontrol altına alınabilmekte  ve daha başarılı   klinik  yanıtlar alınabilmektedir.</w:t>
      </w:r>
      <w:r w:rsidR="004E7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9EC" w:rsidRPr="0082482C">
        <w:rPr>
          <w:rFonts w:ascii="Times New Roman" w:hAnsi="Times New Roman" w:cs="Times New Roman"/>
          <w:sz w:val="24"/>
          <w:szCs w:val="24"/>
        </w:rPr>
        <w:t>Bu  hastalarla</w:t>
      </w:r>
      <w:proofErr w:type="gramEnd"/>
      <w:r w:rsidR="004E79EC" w:rsidRPr="0082482C">
        <w:rPr>
          <w:rFonts w:ascii="Times New Roman" w:hAnsi="Times New Roman" w:cs="Times New Roman"/>
          <w:sz w:val="24"/>
          <w:szCs w:val="24"/>
        </w:rPr>
        <w:t xml:space="preserve">  ilgili </w:t>
      </w:r>
      <w:r w:rsidR="004E79EC">
        <w:rPr>
          <w:rFonts w:ascii="Times New Roman" w:hAnsi="Times New Roman" w:cs="Times New Roman"/>
          <w:sz w:val="24"/>
          <w:szCs w:val="24"/>
        </w:rPr>
        <w:t xml:space="preserve">farklı </w:t>
      </w:r>
      <w:r w:rsidR="004E79EC" w:rsidRPr="0082482C">
        <w:rPr>
          <w:rFonts w:ascii="Times New Roman" w:hAnsi="Times New Roman" w:cs="Times New Roman"/>
          <w:sz w:val="24"/>
          <w:szCs w:val="24"/>
        </w:rPr>
        <w:t xml:space="preserve"> gastroenteroloji  kliniklerinden  de   sık olarak  konsültasyonlar  istenmektedir.  </w:t>
      </w:r>
      <w:proofErr w:type="gramStart"/>
      <w:r w:rsidRPr="0082482C">
        <w:rPr>
          <w:rFonts w:ascii="Times New Roman" w:hAnsi="Times New Roman" w:cs="Times New Roman"/>
          <w:sz w:val="24"/>
          <w:szCs w:val="24"/>
        </w:rPr>
        <w:t>dis</w:t>
      </w:r>
      <w:r w:rsidR="004E79EC">
        <w:rPr>
          <w:rFonts w:ascii="Times New Roman" w:hAnsi="Times New Roman" w:cs="Times New Roman"/>
          <w:sz w:val="24"/>
          <w:szCs w:val="24"/>
        </w:rPr>
        <w:t>i</w:t>
      </w:r>
      <w:r w:rsidRPr="0082482C">
        <w:rPr>
          <w:rFonts w:ascii="Times New Roman" w:hAnsi="Times New Roman" w:cs="Times New Roman"/>
          <w:sz w:val="24"/>
          <w:szCs w:val="24"/>
        </w:rPr>
        <w:t>plinlerden  farklı</w:t>
      </w:r>
      <w:proofErr w:type="gramEnd"/>
      <w:r w:rsidRPr="0082482C">
        <w:rPr>
          <w:rFonts w:ascii="Times New Roman" w:hAnsi="Times New Roman" w:cs="Times New Roman"/>
          <w:sz w:val="24"/>
          <w:szCs w:val="24"/>
        </w:rPr>
        <w:t xml:space="preserve"> uzmanların bir araya gelmesi, görüş alışverişinde bulunmaları ile optimal takip ve tedavi sağlanabilir. </w:t>
      </w:r>
    </w:p>
    <w:p w:rsidR="0082482C" w:rsidRDefault="006B651B" w:rsidP="008248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  çalışmada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gastroen</w:t>
      </w:r>
      <w:r w:rsidR="0082482C" w:rsidRPr="0082482C">
        <w:rPr>
          <w:rFonts w:ascii="Times New Roman" w:hAnsi="Times New Roman" w:cs="Times New Roman"/>
          <w:sz w:val="24"/>
          <w:szCs w:val="24"/>
        </w:rPr>
        <w:t xml:space="preserve">teroloji  kliniğimizden Ocak  2016-  0cak  2017  tarihleri  arasında Hematoloji  ve  Medikal  Onkoloji  Klinikleri  tarafından  istenen konsültasyonları  ve  sonuçlarını  sunmayı  amaçladık. </w:t>
      </w:r>
    </w:p>
    <w:p w:rsidR="006B651B" w:rsidRDefault="006B651B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EC" w:rsidRDefault="004E79EC" w:rsidP="00824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651B">
        <w:rPr>
          <w:rFonts w:ascii="Times New Roman" w:hAnsi="Times New Roman" w:cs="Times New Roman"/>
          <w:sz w:val="24"/>
          <w:szCs w:val="24"/>
        </w:rPr>
        <w:t xml:space="preserve">Materyal </w:t>
      </w:r>
      <w:proofErr w:type="gramStart"/>
      <w:r w:rsidR="006B651B">
        <w:rPr>
          <w:rFonts w:ascii="Times New Roman" w:hAnsi="Times New Roman" w:cs="Times New Roman"/>
          <w:sz w:val="24"/>
          <w:szCs w:val="24"/>
        </w:rPr>
        <w:t xml:space="preserve">ve  </w:t>
      </w:r>
      <w:proofErr w:type="spellStart"/>
      <w:r w:rsidR="006B651B">
        <w:rPr>
          <w:rFonts w:ascii="Times New Roman" w:hAnsi="Times New Roman" w:cs="Times New Roman"/>
          <w:sz w:val="24"/>
          <w:szCs w:val="24"/>
        </w:rPr>
        <w:t>Metod</w:t>
      </w:r>
      <w:proofErr w:type="spellEnd"/>
      <w:proofErr w:type="gramEnd"/>
      <w:r w:rsidR="006B651B">
        <w:rPr>
          <w:rFonts w:ascii="Times New Roman" w:hAnsi="Times New Roman" w:cs="Times New Roman"/>
          <w:sz w:val="24"/>
          <w:szCs w:val="24"/>
        </w:rPr>
        <w:t>:</w:t>
      </w:r>
    </w:p>
    <w:p w:rsidR="004E79EC" w:rsidRDefault="004E79EC" w:rsidP="008248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  çalışmada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651B">
        <w:rPr>
          <w:rFonts w:ascii="Times New Roman" w:hAnsi="Times New Roman" w:cs="Times New Roman"/>
          <w:sz w:val="24"/>
          <w:szCs w:val="24"/>
        </w:rPr>
        <w:t>Yeni Yüzyıl  Üniversitesi  Tıp  Fakültesi Gaziosmanpaşa  Hastanesi</w:t>
      </w:r>
      <w:r>
        <w:rPr>
          <w:rFonts w:ascii="Times New Roman" w:hAnsi="Times New Roman" w:cs="Times New Roman"/>
          <w:sz w:val="24"/>
          <w:szCs w:val="24"/>
        </w:rPr>
        <w:t xml:space="preserve"> Hematoloji  ve  Medikal  O</w:t>
      </w:r>
      <w:r w:rsidR="006B651B">
        <w:rPr>
          <w:rFonts w:ascii="Times New Roman" w:hAnsi="Times New Roman" w:cs="Times New Roman"/>
          <w:sz w:val="24"/>
          <w:szCs w:val="24"/>
        </w:rPr>
        <w:t xml:space="preserve">nkoloji  Kliniklerinden Ocak  2016 – Ocak  2017  tarihleri  arasında  Yeni Yüzyıl  Üniversitesi  Tıp  Fakültesi Gaziosmanpaşa  Hastanesi Gastroenteroloji  Kliniğinden </w:t>
      </w:r>
      <w:r>
        <w:rPr>
          <w:rFonts w:ascii="Times New Roman" w:hAnsi="Times New Roman" w:cs="Times New Roman"/>
          <w:sz w:val="24"/>
          <w:szCs w:val="24"/>
        </w:rPr>
        <w:t xml:space="preserve">istenmiş  olan  konsültasyonlar  incelenmiştir. </w:t>
      </w:r>
      <w:proofErr w:type="gramStart"/>
      <w:r>
        <w:rPr>
          <w:rFonts w:ascii="Times New Roman" w:hAnsi="Times New Roman" w:cs="Times New Roman"/>
          <w:sz w:val="24"/>
          <w:szCs w:val="24"/>
        </w:rPr>
        <w:t>Hasta  verilerine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hastane  veri  tabanında kayıtlı dijital  dosyaların  taranması  yoluyla  ulaşılmıştır. </w:t>
      </w:r>
      <w:proofErr w:type="gramStart"/>
      <w:r>
        <w:rPr>
          <w:rFonts w:ascii="Times New Roman" w:hAnsi="Times New Roman" w:cs="Times New Roman"/>
          <w:sz w:val="24"/>
          <w:szCs w:val="24"/>
        </w:rPr>
        <w:t>Retrospektif  bir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çalışma  olduğundan  etik  kurul  onayı  alınmamıştır. </w:t>
      </w:r>
    </w:p>
    <w:p w:rsidR="004E79EC" w:rsidRDefault="004E79EC" w:rsidP="008248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Çalışmaya  18</w:t>
      </w:r>
      <w:proofErr w:type="gramEnd"/>
      <w:r>
        <w:rPr>
          <w:rFonts w:ascii="Times New Roman" w:hAnsi="Times New Roman" w:cs="Times New Roman"/>
          <w:sz w:val="24"/>
          <w:szCs w:val="24"/>
        </w:rPr>
        <w:t>-80  yaş  arası,  hematoloji  ve  medikal  onkoloji  tarafından  taki</w:t>
      </w:r>
      <w:r w:rsidR="00DE73CE">
        <w:rPr>
          <w:rFonts w:ascii="Times New Roman" w:hAnsi="Times New Roman" w:cs="Times New Roman"/>
          <w:sz w:val="24"/>
          <w:szCs w:val="24"/>
        </w:rPr>
        <w:t>p  edilen, gastroenteroloji  kli</w:t>
      </w:r>
      <w:r>
        <w:rPr>
          <w:rFonts w:ascii="Times New Roman" w:hAnsi="Times New Roman" w:cs="Times New Roman"/>
          <w:sz w:val="24"/>
          <w:szCs w:val="24"/>
        </w:rPr>
        <w:t>niğinden  konsül</w:t>
      </w:r>
      <w:r w:rsidR="0022554D">
        <w:rPr>
          <w:rFonts w:ascii="Times New Roman" w:hAnsi="Times New Roman" w:cs="Times New Roman"/>
          <w:sz w:val="24"/>
          <w:szCs w:val="24"/>
        </w:rPr>
        <w:t xml:space="preserve">tasyon  istenmiş  olan  28  hasta </w:t>
      </w:r>
      <w:r>
        <w:rPr>
          <w:rFonts w:ascii="Times New Roman" w:hAnsi="Times New Roman" w:cs="Times New Roman"/>
          <w:sz w:val="24"/>
          <w:szCs w:val="24"/>
        </w:rPr>
        <w:t xml:space="preserve"> dahil  edilmiştir.</w:t>
      </w:r>
    </w:p>
    <w:p w:rsidR="004E79EC" w:rsidRDefault="004E79EC" w:rsidP="008248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Verilerinde</w:t>
      </w:r>
      <w:r w:rsidR="00250991">
        <w:rPr>
          <w:rFonts w:ascii="Times New Roman" w:hAnsi="Times New Roman" w:cs="Times New Roman"/>
          <w:sz w:val="24"/>
          <w:szCs w:val="24"/>
        </w:rPr>
        <w:t xml:space="preserve">  eksiklik</w:t>
      </w:r>
      <w:proofErr w:type="gramEnd"/>
      <w:r w:rsidR="00250991">
        <w:rPr>
          <w:rFonts w:ascii="Times New Roman" w:hAnsi="Times New Roman" w:cs="Times New Roman"/>
          <w:sz w:val="24"/>
          <w:szCs w:val="24"/>
        </w:rPr>
        <w:t xml:space="preserve">  olan,  önerilen  tet</w:t>
      </w:r>
      <w:r>
        <w:rPr>
          <w:rFonts w:ascii="Times New Roman" w:hAnsi="Times New Roman" w:cs="Times New Roman"/>
          <w:sz w:val="24"/>
          <w:szCs w:val="24"/>
        </w:rPr>
        <w:t xml:space="preserve">kikleri  tamamlanmadan  takipten  çıkan  hastalar  çalışmaya  alınmamıştır. </w:t>
      </w:r>
    </w:p>
    <w:p w:rsidR="004E79EC" w:rsidRDefault="007F555C" w:rsidP="00824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İstatiksel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</w:t>
      </w:r>
    </w:p>
    <w:p w:rsidR="00D73D48" w:rsidRPr="000C23DC" w:rsidRDefault="00D73D48" w:rsidP="00D73D48">
      <w:pPr>
        <w:pStyle w:val="Default"/>
        <w:jc w:val="both"/>
        <w:rPr>
          <w:rFonts w:ascii="Times New Roman" w:hAnsi="Times New Roman" w:cs="Times New Roman"/>
        </w:rPr>
      </w:pPr>
      <w:r w:rsidRPr="000C23DC">
        <w:rPr>
          <w:rFonts w:ascii="Times New Roman" w:hAnsi="Times New Roman" w:cs="Times New Roman"/>
        </w:rPr>
        <w:t xml:space="preserve">İstatistiksel analiz SPSS </w:t>
      </w:r>
      <w:proofErr w:type="gramStart"/>
      <w:r w:rsidRPr="000C23DC">
        <w:rPr>
          <w:rFonts w:ascii="Times New Roman" w:hAnsi="Times New Roman" w:cs="Times New Roman"/>
        </w:rPr>
        <w:t>20.0</w:t>
      </w:r>
      <w:proofErr w:type="gramEnd"/>
      <w:r w:rsidRPr="000C23DC">
        <w:rPr>
          <w:rFonts w:ascii="Times New Roman" w:hAnsi="Times New Roman" w:cs="Times New Roman"/>
        </w:rPr>
        <w:t xml:space="preserve"> bilgisayar programı kullanılarak yapıldı. Kategorik değişkenler sayı veya yüzde, devamlı değişkenler ise ortalama±standart sapma şeklinde ifade edildi. </w:t>
      </w:r>
    </w:p>
    <w:p w:rsidR="004E79EC" w:rsidRDefault="004E79EC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EC" w:rsidRDefault="004E79EC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EC" w:rsidRDefault="00D73D48" w:rsidP="00824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Bulgular</w:t>
      </w:r>
      <w:r w:rsidR="004E79EC">
        <w:rPr>
          <w:rFonts w:ascii="Times New Roman" w:hAnsi="Times New Roman" w:cs="Times New Roman"/>
          <w:sz w:val="24"/>
          <w:szCs w:val="24"/>
        </w:rPr>
        <w:t>:</w:t>
      </w:r>
    </w:p>
    <w:p w:rsidR="001F4FDF" w:rsidRDefault="001F4FDF" w:rsidP="008248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Çalışmaya  toplam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 hasta  (  K:12,E:16)  alındı ve  yaş  ortalamaları 53.3±15 (21-84) tespit  edilmiştir. </w:t>
      </w:r>
      <w:proofErr w:type="gramStart"/>
      <w:r w:rsidR="007F555C">
        <w:rPr>
          <w:rFonts w:ascii="Times New Roman" w:hAnsi="Times New Roman" w:cs="Times New Roman"/>
          <w:sz w:val="24"/>
          <w:szCs w:val="24"/>
        </w:rPr>
        <w:t>Tablo  1</w:t>
      </w:r>
      <w:proofErr w:type="gramEnd"/>
      <w:r w:rsidR="007F555C">
        <w:rPr>
          <w:rFonts w:ascii="Times New Roman" w:hAnsi="Times New Roman" w:cs="Times New Roman"/>
          <w:sz w:val="24"/>
          <w:szCs w:val="24"/>
        </w:rPr>
        <w:t xml:space="preserve">’ de onkoloji kliniği  hastalarının  konsültasyon  nedenleri  ve  sonuçları  </w:t>
      </w:r>
      <w:r w:rsidR="007F555C">
        <w:rPr>
          <w:rFonts w:ascii="Times New Roman" w:hAnsi="Times New Roman" w:cs="Times New Roman"/>
          <w:sz w:val="24"/>
          <w:szCs w:val="24"/>
        </w:rPr>
        <w:lastRenderedPageBreak/>
        <w:t xml:space="preserve">sunulmuştur. Tablo 2’ de hematoloji kliniği hastalarının konsültasyon </w:t>
      </w:r>
      <w:proofErr w:type="gramStart"/>
      <w:r w:rsidR="007F555C">
        <w:rPr>
          <w:rFonts w:ascii="Times New Roman" w:hAnsi="Times New Roman" w:cs="Times New Roman"/>
          <w:sz w:val="24"/>
          <w:szCs w:val="24"/>
        </w:rPr>
        <w:t>nedenleri  ve</w:t>
      </w:r>
      <w:proofErr w:type="gramEnd"/>
      <w:r w:rsidR="007F555C">
        <w:rPr>
          <w:rFonts w:ascii="Times New Roman" w:hAnsi="Times New Roman" w:cs="Times New Roman"/>
          <w:sz w:val="24"/>
          <w:szCs w:val="24"/>
        </w:rPr>
        <w:t xml:space="preserve">  sonuçları sunulmuştur.</w:t>
      </w:r>
    </w:p>
    <w:p w:rsidR="004E79EC" w:rsidRDefault="004E79EC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F8" w:rsidRDefault="00AD5FF8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F8" w:rsidRDefault="00AD5FF8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EC" w:rsidRPr="005C6E3D" w:rsidRDefault="004E79EC" w:rsidP="0082482C">
      <w:pPr>
        <w:jc w:val="both"/>
        <w:rPr>
          <w:rFonts w:ascii="Times New Roman" w:hAnsi="Times New Roman" w:cs="Times New Roman"/>
          <w:sz w:val="24"/>
          <w:szCs w:val="24"/>
        </w:rPr>
      </w:pPr>
      <w:r w:rsidRPr="005C6E3D">
        <w:rPr>
          <w:rFonts w:ascii="Times New Roman" w:hAnsi="Times New Roman" w:cs="Times New Roman"/>
          <w:sz w:val="24"/>
          <w:szCs w:val="24"/>
        </w:rPr>
        <w:t>Tartışma:</w:t>
      </w:r>
    </w:p>
    <w:p w:rsidR="006B651B" w:rsidRPr="005C6E3D" w:rsidRDefault="00250991" w:rsidP="008248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E3D">
        <w:rPr>
          <w:rFonts w:ascii="Times New Roman" w:hAnsi="Times New Roman" w:cs="Times New Roman"/>
          <w:sz w:val="24"/>
          <w:szCs w:val="24"/>
        </w:rPr>
        <w:t>Medikal  Onkoloji</w:t>
      </w:r>
      <w:proofErr w:type="gramEnd"/>
      <w:r w:rsidRPr="005C6E3D">
        <w:rPr>
          <w:rFonts w:ascii="Times New Roman" w:hAnsi="Times New Roman" w:cs="Times New Roman"/>
          <w:sz w:val="24"/>
          <w:szCs w:val="24"/>
        </w:rPr>
        <w:t xml:space="preserve"> ve Hematoloji  hastalarının  takip  ve  tedavisi  birçok  zorluklar  içermektedir.  </w:t>
      </w:r>
      <w:proofErr w:type="gramStart"/>
      <w:r w:rsidR="008823A1" w:rsidRPr="005C6E3D">
        <w:rPr>
          <w:rFonts w:ascii="Times New Roman" w:hAnsi="Times New Roman" w:cs="Times New Roman"/>
          <w:sz w:val="24"/>
          <w:szCs w:val="24"/>
        </w:rPr>
        <w:t>Hastalıklarına  bağlı</w:t>
      </w:r>
      <w:proofErr w:type="gram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olarak Tedavi  ve  takip  sürecinde  bu  hastalar  çeşitli sağlık  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sorunlaruyla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karşıkarşıya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kalmaktadırlar. </w:t>
      </w:r>
      <w:proofErr w:type="gramStart"/>
      <w:r w:rsidR="008823A1" w:rsidRPr="005C6E3D">
        <w:rPr>
          <w:rFonts w:ascii="Times New Roman" w:hAnsi="Times New Roman" w:cs="Times New Roman"/>
          <w:sz w:val="24"/>
          <w:szCs w:val="24"/>
        </w:rPr>
        <w:t>Bu  durumlarda</w:t>
      </w:r>
      <w:proofErr w:type="gram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takip  eden  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klinisyenler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zaman  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diğer branşlardan  konsültasyon  yoluyla  takip  ve  tedaviye  destek  almaktadır. </w:t>
      </w:r>
      <w:proofErr w:type="gramStart"/>
      <w:r w:rsidR="008823A1" w:rsidRPr="005C6E3D">
        <w:rPr>
          <w:rFonts w:ascii="Times New Roman" w:hAnsi="Times New Roman" w:cs="Times New Roman"/>
          <w:sz w:val="24"/>
          <w:szCs w:val="24"/>
        </w:rPr>
        <w:t>Bu  sürecin</w:t>
      </w:r>
      <w:proofErr w:type="gram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yönetimi  çoğu  zaman  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disipliner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bir  takip  ile  mümkün  olabilmektedir. Onkoloji  ve  hematoloji  hastalarında  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( ülser,  kanser, kanama,kabızlık,  ishal  vs</w:t>
      </w:r>
      <w:proofErr w:type="gramStart"/>
      <w:r w:rsidR="008823A1" w:rsidRPr="005C6E3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) ve  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hepatolojik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(karaciğer  enzim  yükseklikleri,  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hepatit, 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greft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hastalığı vs..)    problemlere  de sık  olarak  rastlanmaktır. </w:t>
      </w:r>
      <w:proofErr w:type="gramStart"/>
      <w:r w:rsidR="008823A1" w:rsidRPr="005C6E3D">
        <w:rPr>
          <w:rFonts w:ascii="Times New Roman" w:hAnsi="Times New Roman" w:cs="Times New Roman"/>
          <w:sz w:val="24"/>
          <w:szCs w:val="24"/>
        </w:rPr>
        <w:t>İlgili  branşın</w:t>
      </w:r>
      <w:proofErr w:type="gram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istediği  konsültasyon  ile  bu  sürece  biz de müdahil  oluyoruz.  </w:t>
      </w:r>
      <w:proofErr w:type="gramStart"/>
      <w:r w:rsidR="008823A1" w:rsidRPr="005C6E3D">
        <w:rPr>
          <w:rFonts w:ascii="Times New Roman" w:hAnsi="Times New Roman" w:cs="Times New Roman"/>
          <w:sz w:val="24"/>
          <w:szCs w:val="24"/>
        </w:rPr>
        <w:t>Hastanın  mevcut</w:t>
      </w:r>
      <w:proofErr w:type="gram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şikayetlerini  değerlendirip laboratuar  testleri ve  radyolojik görüntülemeler  gibi  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invaziv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yöntemlerle  mevcut  problemi  çözmeye  çalışıyoruz. </w:t>
      </w:r>
      <w:proofErr w:type="gramStart"/>
      <w:r w:rsidR="008823A1" w:rsidRPr="005C6E3D">
        <w:rPr>
          <w:rFonts w:ascii="Times New Roman" w:hAnsi="Times New Roman" w:cs="Times New Roman"/>
          <w:sz w:val="24"/>
          <w:szCs w:val="24"/>
        </w:rPr>
        <w:t>Bu  yöntemlerle</w:t>
      </w:r>
      <w:proofErr w:type="gram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sonuç  alamadığımız  veya  sürecin  çok  hızlı  ilerlediği  durumlarda endoskopik  yöntemler, 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endosonografi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, karaciğer  biyopsi  gibi  </w:t>
      </w:r>
      <w:proofErr w:type="spellStart"/>
      <w:r w:rsidR="008823A1" w:rsidRPr="005C6E3D">
        <w:rPr>
          <w:rFonts w:ascii="Times New Roman" w:hAnsi="Times New Roman" w:cs="Times New Roman"/>
          <w:sz w:val="24"/>
          <w:szCs w:val="24"/>
        </w:rPr>
        <w:t>invaziv</w:t>
      </w:r>
      <w:proofErr w:type="spellEnd"/>
      <w:r w:rsidR="008823A1" w:rsidRPr="005C6E3D">
        <w:rPr>
          <w:rFonts w:ascii="Times New Roman" w:hAnsi="Times New Roman" w:cs="Times New Roman"/>
          <w:sz w:val="24"/>
          <w:szCs w:val="24"/>
        </w:rPr>
        <w:t xml:space="preserve">  </w:t>
      </w:r>
      <w:r w:rsidR="00675729" w:rsidRPr="005C6E3D">
        <w:rPr>
          <w:rFonts w:ascii="Times New Roman" w:hAnsi="Times New Roman" w:cs="Times New Roman"/>
          <w:sz w:val="24"/>
          <w:szCs w:val="24"/>
        </w:rPr>
        <w:t xml:space="preserve">yöntemler  kullanılmaktadır. </w:t>
      </w:r>
    </w:p>
    <w:p w:rsidR="00AD5FF8" w:rsidRPr="005C6E3D" w:rsidRDefault="00AD5FF8" w:rsidP="0082482C">
      <w:pPr>
        <w:jc w:val="both"/>
        <w:rPr>
          <w:rFonts w:ascii="Times New Roman" w:hAnsi="Times New Roman" w:cs="Times New Roman"/>
          <w:sz w:val="24"/>
          <w:szCs w:val="24"/>
        </w:rPr>
      </w:pPr>
      <w:r w:rsidRPr="005C6E3D">
        <w:rPr>
          <w:rFonts w:ascii="Times New Roman" w:hAnsi="Times New Roman" w:cs="Times New Roman"/>
          <w:sz w:val="24"/>
          <w:szCs w:val="24"/>
        </w:rPr>
        <w:t xml:space="preserve">Hematoloji  hastalarında   sıklıkla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 sistem  kanaması  meydana  gelmekte  ve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gramStart"/>
      <w:r w:rsidRPr="005C6E3D">
        <w:rPr>
          <w:rFonts w:ascii="Times New Roman" w:hAnsi="Times New Roman" w:cs="Times New Roman"/>
          <w:sz w:val="24"/>
          <w:szCs w:val="24"/>
        </w:rPr>
        <w:t>kanamalarında,endoskopik</w:t>
      </w:r>
      <w:proofErr w:type="gramEnd"/>
      <w:r w:rsidRPr="005C6E3D">
        <w:rPr>
          <w:rFonts w:ascii="Times New Roman" w:hAnsi="Times New Roman" w:cs="Times New Roman"/>
          <w:sz w:val="24"/>
          <w:szCs w:val="24"/>
        </w:rPr>
        <w:t xml:space="preserve"> yöntemlerle (gastroskopi,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kolonoskopi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,  çift  balon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enteroskopi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vs.) kanama odağı tespit edilip çeşitli endoskopik (Argon  plazma,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Skleroterapi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hemoklip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vs.) yöntemler tedavisinde  kullanılmaktadır (1,2). </w:t>
      </w:r>
    </w:p>
    <w:p w:rsidR="00AD5FF8" w:rsidRPr="005C6E3D" w:rsidRDefault="009B2C64" w:rsidP="0082482C">
      <w:pPr>
        <w:jc w:val="both"/>
        <w:rPr>
          <w:rFonts w:ascii="Times New Roman" w:hAnsi="Times New Roman" w:cs="Times New Roman"/>
          <w:sz w:val="24"/>
          <w:szCs w:val="24"/>
        </w:rPr>
      </w:pPr>
      <w:r w:rsidRPr="005C6E3D">
        <w:rPr>
          <w:rFonts w:ascii="Times New Roman" w:hAnsi="Times New Roman" w:cs="Times New Roman"/>
          <w:sz w:val="24"/>
          <w:szCs w:val="24"/>
        </w:rPr>
        <w:t xml:space="preserve">Kemoterapi  alan  hastalarda en  az  1  kez bir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atağı </w:t>
      </w:r>
      <w:proofErr w:type="gramStart"/>
      <w:r w:rsidRPr="005C6E3D">
        <w:rPr>
          <w:rFonts w:ascii="Times New Roman" w:hAnsi="Times New Roman" w:cs="Times New Roman"/>
          <w:sz w:val="24"/>
          <w:szCs w:val="24"/>
        </w:rPr>
        <w:t>görülür .</w:t>
      </w:r>
      <w:proofErr w:type="gramEnd"/>
      <w:r w:rsidRPr="005C6E3D">
        <w:rPr>
          <w:rFonts w:ascii="Times New Roman" w:hAnsi="Times New Roman" w:cs="Times New Roman"/>
          <w:sz w:val="24"/>
          <w:szCs w:val="24"/>
        </w:rPr>
        <w:t xml:space="preserve"> İlk etapta en </w:t>
      </w:r>
      <w:proofErr w:type="gramStart"/>
      <w:r w:rsidRPr="005C6E3D">
        <w:rPr>
          <w:rFonts w:ascii="Times New Roman" w:hAnsi="Times New Roman" w:cs="Times New Roman"/>
          <w:sz w:val="24"/>
          <w:szCs w:val="24"/>
        </w:rPr>
        <w:t>sık  rastlanan</w:t>
      </w:r>
      <w:proofErr w:type="gramEnd"/>
      <w:r w:rsidRPr="005C6E3D">
        <w:rPr>
          <w:rFonts w:ascii="Times New Roman" w:hAnsi="Times New Roman" w:cs="Times New Roman"/>
          <w:sz w:val="24"/>
          <w:szCs w:val="24"/>
        </w:rPr>
        <w:t xml:space="preserve">  sebepler  ekarte edilmeli, sıvı ve mineral  desteği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yapılmaldır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. Akut 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greft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hastalığı,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allojeneik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 KIT sonrası gelişen </w:t>
      </w:r>
      <w:proofErr w:type="gramStart"/>
      <w:r w:rsidRPr="005C6E3D">
        <w:rPr>
          <w:rFonts w:ascii="Times New Roman" w:hAnsi="Times New Roman" w:cs="Times New Roman"/>
          <w:sz w:val="24"/>
          <w:szCs w:val="24"/>
        </w:rPr>
        <w:t>ciddi,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persistan</w:t>
      </w:r>
      <w:proofErr w:type="spellEnd"/>
      <w:proofErr w:type="gramEnd"/>
      <w:r w:rsidRPr="005C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diyarenin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en sık görülen sebebidir.  Diğer nedenler;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infeksiyonlar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, ilaçlar,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nötropenik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enterokolit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6E3D">
        <w:rPr>
          <w:rFonts w:ascii="Times New Roman" w:hAnsi="Times New Roman" w:cs="Times New Roman"/>
          <w:sz w:val="24"/>
          <w:szCs w:val="24"/>
        </w:rPr>
        <w:t>traktusu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 tutan</w:t>
      </w:r>
      <w:proofErr w:type="gramEnd"/>
      <w:r w:rsidRPr="005C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posttransplant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lenfoproliferatif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hastalıktır  (3</w:t>
      </w:r>
      <w:r w:rsidR="00DF2975" w:rsidRPr="005C6E3D">
        <w:rPr>
          <w:rFonts w:ascii="Times New Roman" w:hAnsi="Times New Roman" w:cs="Times New Roman"/>
          <w:sz w:val="24"/>
          <w:szCs w:val="24"/>
        </w:rPr>
        <w:t>,4</w:t>
      </w:r>
      <w:r w:rsidRPr="005C6E3D">
        <w:rPr>
          <w:rFonts w:ascii="Times New Roman" w:hAnsi="Times New Roman" w:cs="Times New Roman"/>
          <w:sz w:val="24"/>
          <w:szCs w:val="24"/>
        </w:rPr>
        <w:t>).</w:t>
      </w:r>
    </w:p>
    <w:p w:rsidR="00746762" w:rsidRPr="005C6E3D" w:rsidRDefault="00746762" w:rsidP="007467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Kemik  iliği</w:t>
      </w:r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nakli  yapılan  hastalarda 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Gastrointestinal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traktusun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akut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Greft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versus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host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hastalığı (GVHH) tarafından tutulumu klinik çeşitlilik gösterir. İshal, karın ağrısı, bulantı, kusma,  kilo kaybı sık görülür. Akut GVHH, alt ve üst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gastrointestinal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traktusu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tutabilir.  Bol sulu ve yüksek hacimli ishal ile başlayıp, kanlı  ishale dönüşüp transfüzyon gereksinimi  </w:t>
      </w:r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olabilir .</w:t>
      </w:r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 çoğu zaman </w:t>
      </w:r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klinik  ile</w:t>
      </w:r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konulabilmekle birlikte zaman 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zaman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histolojik  tanı gerekebilir.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Rektal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biyopsi  tanıda çoğu zaman akut  GVHH tanısını koydurur, fakat negatif  bir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rektal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biyopsi  sonucu tanıyı ekarte </w:t>
      </w:r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ettirmez.İshalin</w:t>
      </w:r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ağırlığı,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gastrointestinal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traktusun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tutulumunun ağırlığıyla orantılıdır</w:t>
      </w:r>
      <w:r w:rsidR="00DF2975"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(5)</w:t>
      </w:r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372B1" w:rsidRDefault="008372B1" w:rsidP="007467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Akut  GVHH’ de Karaciğer  tutulumu  genellikle  deri  ve  barsak  tutulumu  olan  hastalarda  </w:t>
      </w:r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görülür.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GVHD’ye</w:t>
      </w:r>
      <w:proofErr w:type="spellEnd"/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bağlı  karaciğer  tutulumunu  göstermek  için  karaciğer  biyopsi  yapılması  gereklidir. </w:t>
      </w:r>
      <w:proofErr w:type="spellStart"/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GVHD’nin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karaciğer</w:t>
      </w:r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tutulumunda  karaciğer  fonksiyon  testlerinde  anormallikler görülür. </w:t>
      </w:r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Erken  ve</w:t>
      </w:r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 sık  görülen;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konjüge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bilirübin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artışının  eşlik  ettiği ALP   yüksekliğidir. </w:t>
      </w:r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Kolesterol  yüksekliği</w:t>
      </w:r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genellikle   görülmekle  birlikte 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koagülopati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ve 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hiperamonyemi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ağır  vakalarda  görülebilir. Bazen  klasik  karaciğer  biyopsisi  yapılamayabilir  (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trombositopeni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, akut  kanama vs</w:t>
      </w:r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),bu  durumda 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transjügüler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karaciğer  biyopsi  yapılması  önerilir.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histolojik  bulgu;   ağır 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kolestaza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sebep olabilecek  yaygın  safra kanal hasarıdır (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duktatipi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küçük  safra  kanallarında  lenfosit 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infiltrasyonu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, epitelyum hücrelerinin  dökülmesi, dejenerasyonu vs</w:t>
      </w:r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. </w:t>
      </w:r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Hafif  olgularda</w:t>
      </w:r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topikal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tedaviler ( 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topikal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kortikosteroidler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 yeterli  iken  daha  ağır  hastalıkta sistemik 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kortikosteroidler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kullanılır</w:t>
      </w:r>
      <w:r w:rsidR="008D00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(6-10</w:t>
      </w:r>
      <w:r w:rsidR="00C84969"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D4981" w:rsidRDefault="004D0F27" w:rsidP="007467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 çalışmada, </w:t>
      </w:r>
      <w:r w:rsidR="002D49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çalışmanın </w:t>
      </w:r>
      <w:r w:rsidR="001A5C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 </w:t>
      </w:r>
      <w:r w:rsidR="002D49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merkezli  olması,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hasta  sayısının  </w:t>
      </w:r>
      <w:r w:rsidR="001A5C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azlığı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ve  </w:t>
      </w:r>
      <w:r w:rsidR="002D4981">
        <w:rPr>
          <w:rFonts w:ascii="Times New Roman" w:eastAsia="Times New Roman" w:hAnsi="Times New Roman" w:cs="Times New Roman"/>
          <w:sz w:val="24"/>
          <w:szCs w:val="24"/>
          <w:lang w:eastAsia="tr-TR"/>
        </w:rPr>
        <w:t>retrospektif  bir  ç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olması  gibi  sınırlamalar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mevcuttur.</w:t>
      </w:r>
      <w:r w:rsidR="002D4981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</w:t>
      </w:r>
      <w:proofErr w:type="gramEnd"/>
      <w:r w:rsidR="002D49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literatürde  az  sayıda  benzer  çalışma  olması  ve takibi  zor  bir  hasta  popülasyonuna  ait  veriler  taşıması çalışmayı  önemli  kılmaktadır.  </w:t>
      </w:r>
    </w:p>
    <w:p w:rsidR="004D0F27" w:rsidRPr="005C6E3D" w:rsidRDefault="004D0F27" w:rsidP="007467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Hematoloji  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medikal  onkoloji  klinikleri hastalarının takiplerinde  hastalıklarına  ve tedavi  rejimlerine  bağlı  olarak  sistemik  ve  ciddi  komplikasyonlarla karşılaşılmaktadır.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 komplikasyonlar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genellikle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multi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-sistemik  olduğundan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multi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displiner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yaklaşım  gerekmektedir.  Bu  nedenle gastroenteroloji  kliniği  olarak  sıklıkla bu  hastaların  takip  ve  tedavisine katkı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sağlamaktayız.Bu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tecrübelerimizi  </w:t>
      </w:r>
      <w:r w:rsidR="00AF13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verilere çevirerek  tıbbi  literatüre  katkı  sunduğumuzu  düşünüyoruz. </w:t>
      </w:r>
      <w:proofErr w:type="gramStart"/>
      <w:r w:rsidR="00AF13D8">
        <w:rPr>
          <w:rFonts w:ascii="Times New Roman" w:eastAsia="Times New Roman" w:hAnsi="Times New Roman" w:cs="Times New Roman"/>
          <w:sz w:val="24"/>
          <w:szCs w:val="24"/>
          <w:lang w:eastAsia="tr-TR"/>
        </w:rPr>
        <w:t>Bu  konuda</w:t>
      </w:r>
      <w:proofErr w:type="gramEnd"/>
      <w:r w:rsidR="00AF13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daha  büyük  hasta  sayıları  içeren </w:t>
      </w:r>
      <w:proofErr w:type="spellStart"/>
      <w:r w:rsidR="00AF13D8">
        <w:rPr>
          <w:rFonts w:ascii="Times New Roman" w:eastAsia="Times New Roman" w:hAnsi="Times New Roman" w:cs="Times New Roman"/>
          <w:sz w:val="24"/>
          <w:szCs w:val="24"/>
          <w:lang w:eastAsia="tr-TR"/>
        </w:rPr>
        <w:t>prospektif</w:t>
      </w:r>
      <w:proofErr w:type="spellEnd"/>
      <w:r w:rsidR="00AF13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çalışmalar  ihtiyaç  vardır.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46762" w:rsidRPr="005C6E3D" w:rsidRDefault="00746762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A8" w:rsidRDefault="00BF60A8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A8" w:rsidRDefault="00BF60A8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A8" w:rsidRDefault="00BF60A8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A8" w:rsidRDefault="00BF60A8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A8" w:rsidRDefault="00BF60A8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A8" w:rsidRDefault="00BF60A8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A8" w:rsidRDefault="00BF60A8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A8" w:rsidRDefault="00BF60A8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A8" w:rsidRDefault="00BF60A8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A8" w:rsidRDefault="00BF60A8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F8" w:rsidRPr="005C6E3D" w:rsidRDefault="00AD5FF8" w:rsidP="0082482C">
      <w:pPr>
        <w:jc w:val="both"/>
        <w:rPr>
          <w:rFonts w:ascii="Times New Roman" w:hAnsi="Times New Roman" w:cs="Times New Roman"/>
          <w:sz w:val="24"/>
          <w:szCs w:val="24"/>
        </w:rPr>
      </w:pPr>
      <w:r w:rsidRPr="005C6E3D">
        <w:rPr>
          <w:rFonts w:ascii="Times New Roman" w:hAnsi="Times New Roman" w:cs="Times New Roman"/>
          <w:sz w:val="24"/>
          <w:szCs w:val="24"/>
        </w:rPr>
        <w:t>Kaynaklar:</w:t>
      </w:r>
    </w:p>
    <w:p w:rsidR="00AD5FF8" w:rsidRPr="005C6E3D" w:rsidRDefault="00AD5FF8" w:rsidP="00AD5F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E3D">
        <w:rPr>
          <w:rFonts w:ascii="Times New Roman" w:hAnsi="Times New Roman" w:cs="Times New Roman"/>
          <w:sz w:val="24"/>
          <w:szCs w:val="24"/>
        </w:rPr>
        <w:t xml:space="preserve"> </w:t>
      </w:r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1-Labrador J,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López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Corral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Vazquez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Sánchez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Guijo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Guerrero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Sánchez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-Barba M,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Lozano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FS,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Alberca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I, Del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Cañizo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MC,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Caballero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González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Porras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JR.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Incidence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risk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factors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threatening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bleeding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allogeneic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stem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cell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transplant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Br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Haematol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2015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Jun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;169(5):719-25.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Epub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2015 Mar 26</w:t>
      </w:r>
    </w:p>
    <w:p w:rsidR="00AD5FF8" w:rsidRPr="005C6E3D" w:rsidRDefault="00AD5FF8" w:rsidP="00AD5F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2-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Bernstein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SH,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Nademanee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AP,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Vose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JM,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Tricot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G, Fay JW,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Negrin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RS,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DiPersio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Rondon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Champlin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Barnett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MJ,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Cornetta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Herzig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GP,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Vaughan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Geils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Jr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Keating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Messner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Wolff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SN, Miller KB,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Linker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Cairo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Hellmann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Ashby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Stryker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Nash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RA. </w:t>
      </w:r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multicenter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platelet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recovery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utilization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myeloablative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therapy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hematopoietic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stem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cell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transplantation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Blood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. 1998;91(9):3509.</w:t>
      </w:r>
    </w:p>
    <w:p w:rsidR="009B2C64" w:rsidRPr="005C6E3D" w:rsidRDefault="009B2C64" w:rsidP="009B2C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3-Van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Kraaij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MG,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Dekker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AW,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Verdonck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LF, et al.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Infectious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gastro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enteritis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an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uncommon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cause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diarrhoea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adult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allogeneic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autologous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stem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cell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transplant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recipients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Bone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Marrow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Transplant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2000; </w:t>
      </w:r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26:299</w:t>
      </w:r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B2C64" w:rsidRPr="005C6E3D" w:rsidRDefault="009B2C64" w:rsidP="009B2C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Bow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EJ,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Loewen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Cheang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MS, et al.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Cytotoxic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therapy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induced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xylose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malabsorption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invasive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during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remission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induction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therapy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acute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myeloid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leukemia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adults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J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Clin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Oncol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1997; </w:t>
      </w:r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15:2254</w:t>
      </w:r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F2975" w:rsidRPr="005C6E3D" w:rsidRDefault="00DF2975" w:rsidP="00DF29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5--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Ross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WA,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Ghosh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Dekovich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AA, et al.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Endoscopic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biopsy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diagnosis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acute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gastrointestinal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graft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versus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host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rectosigmoid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biopsies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more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sensitive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than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upper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gastrointestinal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biopsies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Am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Gastroenterol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2008; 103:982.</w:t>
      </w:r>
    </w:p>
    <w:p w:rsidR="00C11750" w:rsidRPr="005C6E3D" w:rsidRDefault="00C11750" w:rsidP="00C117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6-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Snover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DC,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Weisdorf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Ramsay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NK, et al.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Hepatic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graft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versus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host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a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predictive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value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liver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biopsy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diagnosis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Hepatology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1984; </w:t>
      </w:r>
      <w:proofErr w:type="gram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4:123</w:t>
      </w:r>
      <w:proofErr w:type="gram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11750" w:rsidRDefault="00C11750" w:rsidP="00C117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7-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Akpek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G,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Boitnott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JK, Lee LA, et al.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Hepatitic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variant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graft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versus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host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donor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lymphocyte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infusion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>Blood</w:t>
      </w:r>
      <w:proofErr w:type="spellEnd"/>
      <w:r w:rsidRPr="005C6E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2002; 100:3903.</w:t>
      </w:r>
    </w:p>
    <w:p w:rsidR="00CD332B" w:rsidRPr="00CD332B" w:rsidRDefault="00CD332B" w:rsidP="00C1175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D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8-</w:t>
      </w:r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Stueck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AE,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Schiano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TD,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Fiel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MI.</w:t>
      </w:r>
      <w:r w:rsidRPr="00CD3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Development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of a 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novel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histologic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diagnostic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algorithm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for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hepatic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Pr="00CD332B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graft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CD332B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versus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CD332B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host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disease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</w:hyperlink>
      <w:r w:rsidRPr="00CD332B">
        <w:rPr>
          <w:rStyle w:val="YerTutucuMetni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D332B">
        <w:rPr>
          <w:rStyle w:val="jrn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</w:t>
      </w:r>
      <w:proofErr w:type="spellEnd"/>
      <w:r w:rsidRPr="00CD332B">
        <w:rPr>
          <w:rStyle w:val="jrn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D332B">
        <w:rPr>
          <w:rStyle w:val="jrn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Pathol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2017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1.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gram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10.1038</w:t>
      </w:r>
      <w:proofErr w:type="gram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modpathol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.2017.151. [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Epub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ahead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print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CD332B" w:rsidRPr="00CD332B" w:rsidRDefault="00CD332B" w:rsidP="00C1175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9-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Matsukuma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KE,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Wei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D, Sun K,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Ramsamooj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R,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Chen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M.</w:t>
      </w:r>
      <w:r w:rsidRPr="00CD3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Diagnosis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and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differential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diagnosis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of </w:t>
        </w:r>
        <w:proofErr w:type="spellStart"/>
        <w:r w:rsidRPr="00CD332B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hepatic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Pr="00CD332B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graft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Pr="00CD332B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versus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Pr="00CD332B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host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disease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(GVHD).</w:t>
        </w:r>
      </w:hyperlink>
      <w:r w:rsidRPr="00CD332B">
        <w:rPr>
          <w:rStyle w:val="YerTutucuMetni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D332B">
        <w:rPr>
          <w:rStyle w:val="jrn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 </w:t>
      </w:r>
      <w:proofErr w:type="spellStart"/>
      <w:r w:rsidRPr="00CD332B">
        <w:rPr>
          <w:rStyle w:val="jrn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Gastrointest</w:t>
      </w:r>
      <w:proofErr w:type="spellEnd"/>
      <w:r w:rsidRPr="00CD332B">
        <w:rPr>
          <w:rStyle w:val="jrn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D332B">
        <w:rPr>
          <w:rStyle w:val="jrn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Oncol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2016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;7(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Suppl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1):S21-31.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gram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10.3978</w:t>
      </w:r>
      <w:proofErr w:type="gram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/j.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issn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.2078-6891.2015.036. </w:t>
      </w:r>
    </w:p>
    <w:p w:rsidR="00CD332B" w:rsidRPr="00CD332B" w:rsidRDefault="00CD332B" w:rsidP="00C117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10-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Tuncer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HH, Rana N,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Milani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C,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Darko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A, Al-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Homsi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SA.</w:t>
      </w:r>
      <w:r w:rsidRPr="00CD3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Gastrointestinal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and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Pr="00CD332B">
          <w:rPr>
            <w:rStyle w:val="Kpr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hepatic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complications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of 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hematopoietic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stem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cell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transplantation</w:t>
        </w:r>
        <w:proofErr w:type="spellEnd"/>
        <w:r w:rsidRPr="00CD332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</w:hyperlink>
      <w:r w:rsidRPr="00CD332B">
        <w:rPr>
          <w:rStyle w:val="YerTutucuMetni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D332B">
        <w:rPr>
          <w:rStyle w:val="jrn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World</w:t>
      </w:r>
      <w:proofErr w:type="spellEnd"/>
      <w:r w:rsidRPr="00CD332B">
        <w:rPr>
          <w:rStyle w:val="jrn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 </w:t>
      </w:r>
      <w:proofErr w:type="spellStart"/>
      <w:r w:rsidRPr="00CD332B">
        <w:rPr>
          <w:rStyle w:val="jrn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Gastroenterol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2012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28;18(16):1851-60. 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gram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10.3748</w:t>
      </w:r>
      <w:proofErr w:type="gram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wjg</w:t>
      </w:r>
      <w:proofErr w:type="spellEnd"/>
      <w:r w:rsidRPr="00CD33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.v18.i16.1851.</w:t>
      </w:r>
    </w:p>
    <w:p w:rsidR="007F555C" w:rsidRDefault="007F555C" w:rsidP="00C117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555C" w:rsidRPr="005C6E3D" w:rsidRDefault="007F555C" w:rsidP="00C117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1750" w:rsidRPr="008D29B8" w:rsidRDefault="00C11750" w:rsidP="00DF29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2975" w:rsidRPr="008D29B8" w:rsidRDefault="00DF2975" w:rsidP="009B2C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/>
    <w:p w:rsidR="007F555C" w:rsidRDefault="007F555C" w:rsidP="007F555C"/>
    <w:p w:rsidR="007F555C" w:rsidRDefault="007F555C" w:rsidP="007F555C"/>
    <w:p w:rsidR="007F555C" w:rsidRDefault="007F555C" w:rsidP="007F555C"/>
    <w:p w:rsidR="007F555C" w:rsidRDefault="007F555C" w:rsidP="007F555C"/>
    <w:p w:rsidR="007F555C" w:rsidRDefault="007F555C" w:rsidP="007F555C"/>
    <w:p w:rsidR="007F555C" w:rsidRDefault="007F555C" w:rsidP="007F555C"/>
    <w:p w:rsidR="007F555C" w:rsidRDefault="007F555C" w:rsidP="007F555C"/>
    <w:p w:rsidR="00BF60A8" w:rsidRDefault="00BF60A8" w:rsidP="007F555C"/>
    <w:p w:rsidR="00BF60A8" w:rsidRDefault="00BF60A8" w:rsidP="007F555C"/>
    <w:p w:rsidR="007F555C" w:rsidRDefault="007F555C" w:rsidP="007F555C">
      <w:r>
        <w:t xml:space="preserve">Tablo </w:t>
      </w:r>
      <w:proofErr w:type="gramStart"/>
      <w:r>
        <w:t>1  Onkoloji</w:t>
      </w:r>
      <w:proofErr w:type="gramEnd"/>
      <w:r>
        <w:t xml:space="preserve"> kliniği  hastaları konsültasyon  nedenleri   ve  konsültasyon sonuçları</w:t>
      </w: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tbl>
      <w:tblPr>
        <w:tblStyle w:val="TabloKlavuzu"/>
        <w:tblpPr w:leftFromText="141" w:rightFromText="141" w:horzAnchor="margin" w:tblpY="1355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F555C" w:rsidTr="0044764D">
        <w:tc>
          <w:tcPr>
            <w:tcW w:w="1842" w:type="dxa"/>
          </w:tcPr>
          <w:p w:rsidR="007F555C" w:rsidRDefault="007F555C" w:rsidP="0044764D">
            <w:r>
              <w:t>TANI</w:t>
            </w:r>
          </w:p>
        </w:tc>
        <w:tc>
          <w:tcPr>
            <w:tcW w:w="1842" w:type="dxa"/>
          </w:tcPr>
          <w:p w:rsidR="007F555C" w:rsidRDefault="007F555C" w:rsidP="0044764D">
            <w:r>
              <w:t xml:space="preserve">YAŞ </w:t>
            </w:r>
          </w:p>
        </w:tc>
        <w:tc>
          <w:tcPr>
            <w:tcW w:w="1842" w:type="dxa"/>
          </w:tcPr>
          <w:p w:rsidR="007F555C" w:rsidRDefault="007F555C" w:rsidP="0044764D">
            <w:r>
              <w:t>CİNSİYET</w:t>
            </w:r>
          </w:p>
        </w:tc>
        <w:tc>
          <w:tcPr>
            <w:tcW w:w="1843" w:type="dxa"/>
          </w:tcPr>
          <w:p w:rsidR="007F555C" w:rsidRDefault="007F555C" w:rsidP="0044764D">
            <w:proofErr w:type="gramStart"/>
            <w:r>
              <w:t>KONSÜLTASYON  NEDENİ</w:t>
            </w:r>
            <w:proofErr w:type="gramEnd"/>
          </w:p>
        </w:tc>
        <w:tc>
          <w:tcPr>
            <w:tcW w:w="1843" w:type="dxa"/>
          </w:tcPr>
          <w:p w:rsidR="007F555C" w:rsidRDefault="007F555C" w:rsidP="0044764D">
            <w:r>
              <w:t>SONUÇ</w:t>
            </w:r>
          </w:p>
        </w:tc>
      </w:tr>
      <w:tr w:rsidR="007F555C" w:rsidTr="0044764D">
        <w:tc>
          <w:tcPr>
            <w:tcW w:w="1842" w:type="dxa"/>
          </w:tcPr>
          <w:p w:rsidR="007F555C" w:rsidRDefault="007F555C" w:rsidP="0044764D">
            <w:proofErr w:type="gramStart"/>
            <w:r>
              <w:t>RENAL  CELL</w:t>
            </w:r>
            <w:proofErr w:type="gramEnd"/>
            <w:r>
              <w:t xml:space="preserve">  CA</w:t>
            </w:r>
          </w:p>
        </w:tc>
        <w:tc>
          <w:tcPr>
            <w:tcW w:w="1842" w:type="dxa"/>
          </w:tcPr>
          <w:p w:rsidR="007F555C" w:rsidRDefault="007F555C" w:rsidP="0044764D">
            <w:r>
              <w:t>57</w:t>
            </w:r>
          </w:p>
        </w:tc>
        <w:tc>
          <w:tcPr>
            <w:tcW w:w="1842" w:type="dxa"/>
          </w:tcPr>
          <w:p w:rsidR="007F555C" w:rsidRDefault="007F555C" w:rsidP="0044764D">
            <w:r>
              <w:t>E</w:t>
            </w:r>
          </w:p>
        </w:tc>
        <w:tc>
          <w:tcPr>
            <w:tcW w:w="1843" w:type="dxa"/>
          </w:tcPr>
          <w:p w:rsidR="007F555C" w:rsidRDefault="007F555C" w:rsidP="0044764D">
            <w:proofErr w:type="gramStart"/>
            <w:r>
              <w:t>KCFT  YÜKSEKLİĞİ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7F555C" w:rsidRDefault="007F555C" w:rsidP="0044764D">
            <w:proofErr w:type="gramStart"/>
            <w:r>
              <w:t>ŞOK  KARACİĞERİ</w:t>
            </w:r>
            <w:proofErr w:type="gramEnd"/>
            <w:r>
              <w:t xml:space="preserve"> </w:t>
            </w:r>
          </w:p>
        </w:tc>
      </w:tr>
      <w:tr w:rsidR="007F555C" w:rsidTr="0044764D">
        <w:tc>
          <w:tcPr>
            <w:tcW w:w="1842" w:type="dxa"/>
          </w:tcPr>
          <w:p w:rsidR="007F555C" w:rsidRDefault="007F555C" w:rsidP="0044764D">
            <w:r>
              <w:t>OROFARENKS CA</w:t>
            </w:r>
          </w:p>
        </w:tc>
        <w:tc>
          <w:tcPr>
            <w:tcW w:w="1842" w:type="dxa"/>
          </w:tcPr>
          <w:p w:rsidR="007F555C" w:rsidRDefault="007F555C" w:rsidP="0044764D">
            <w:r>
              <w:t>59</w:t>
            </w:r>
          </w:p>
        </w:tc>
        <w:tc>
          <w:tcPr>
            <w:tcW w:w="1842" w:type="dxa"/>
          </w:tcPr>
          <w:p w:rsidR="007F555C" w:rsidRDefault="007F555C" w:rsidP="0044764D">
            <w:r>
              <w:t>K</w:t>
            </w:r>
          </w:p>
        </w:tc>
        <w:tc>
          <w:tcPr>
            <w:tcW w:w="1843" w:type="dxa"/>
          </w:tcPr>
          <w:p w:rsidR="007F555C" w:rsidRDefault="007F555C" w:rsidP="0044764D">
            <w:r>
              <w:t>DİSFAJİ</w:t>
            </w:r>
          </w:p>
        </w:tc>
        <w:tc>
          <w:tcPr>
            <w:tcW w:w="1843" w:type="dxa"/>
          </w:tcPr>
          <w:p w:rsidR="007F555C" w:rsidRDefault="007F555C" w:rsidP="0044764D">
            <w:proofErr w:type="gramStart"/>
            <w:r>
              <w:t>MALİGN  DARLIK</w:t>
            </w:r>
            <w:proofErr w:type="gramEnd"/>
            <w:r>
              <w:t xml:space="preserve"> </w:t>
            </w:r>
          </w:p>
        </w:tc>
      </w:tr>
      <w:tr w:rsidR="007F555C" w:rsidTr="0044764D">
        <w:tc>
          <w:tcPr>
            <w:tcW w:w="1842" w:type="dxa"/>
          </w:tcPr>
          <w:p w:rsidR="007F555C" w:rsidRDefault="007F555C" w:rsidP="0044764D">
            <w:r>
              <w:t>MEME CA</w:t>
            </w:r>
          </w:p>
        </w:tc>
        <w:tc>
          <w:tcPr>
            <w:tcW w:w="1842" w:type="dxa"/>
          </w:tcPr>
          <w:p w:rsidR="007F555C" w:rsidRDefault="007F555C" w:rsidP="0044764D">
            <w:r>
              <w:t>52</w:t>
            </w:r>
          </w:p>
        </w:tc>
        <w:tc>
          <w:tcPr>
            <w:tcW w:w="1842" w:type="dxa"/>
          </w:tcPr>
          <w:p w:rsidR="007F555C" w:rsidRDefault="007F555C" w:rsidP="0044764D">
            <w:r>
              <w:t>K</w:t>
            </w:r>
          </w:p>
        </w:tc>
        <w:tc>
          <w:tcPr>
            <w:tcW w:w="1843" w:type="dxa"/>
          </w:tcPr>
          <w:p w:rsidR="007F555C" w:rsidRDefault="007F555C" w:rsidP="0044764D">
            <w:r>
              <w:t>KCFT YÜKSEKLİĞİ</w:t>
            </w:r>
          </w:p>
        </w:tc>
        <w:tc>
          <w:tcPr>
            <w:tcW w:w="1843" w:type="dxa"/>
          </w:tcPr>
          <w:p w:rsidR="007F555C" w:rsidRDefault="007F555C" w:rsidP="0044764D">
            <w:proofErr w:type="gramStart"/>
            <w:r>
              <w:t>İLACA  BAĞLI</w:t>
            </w:r>
            <w:proofErr w:type="gramEnd"/>
            <w:r>
              <w:t xml:space="preserve">  TOKSİK  HEPATİT </w:t>
            </w:r>
          </w:p>
        </w:tc>
      </w:tr>
      <w:tr w:rsidR="007F555C" w:rsidTr="0044764D">
        <w:tc>
          <w:tcPr>
            <w:tcW w:w="1842" w:type="dxa"/>
          </w:tcPr>
          <w:p w:rsidR="007F555C" w:rsidRDefault="007F555C" w:rsidP="0044764D">
            <w:proofErr w:type="gramStart"/>
            <w:r>
              <w:t>AKCİĞER  CA</w:t>
            </w:r>
            <w:proofErr w:type="gramEnd"/>
            <w:r>
              <w:t xml:space="preserve"> </w:t>
            </w:r>
          </w:p>
        </w:tc>
        <w:tc>
          <w:tcPr>
            <w:tcW w:w="1842" w:type="dxa"/>
          </w:tcPr>
          <w:p w:rsidR="007F555C" w:rsidRDefault="007F555C" w:rsidP="0044764D">
            <w:r>
              <w:t>65</w:t>
            </w:r>
          </w:p>
        </w:tc>
        <w:tc>
          <w:tcPr>
            <w:tcW w:w="1842" w:type="dxa"/>
          </w:tcPr>
          <w:p w:rsidR="007F555C" w:rsidRDefault="007F555C" w:rsidP="0044764D">
            <w:r>
              <w:t>E</w:t>
            </w:r>
          </w:p>
        </w:tc>
        <w:tc>
          <w:tcPr>
            <w:tcW w:w="1843" w:type="dxa"/>
          </w:tcPr>
          <w:p w:rsidR="007F555C" w:rsidRDefault="007F555C" w:rsidP="0044764D">
            <w:proofErr w:type="gramStart"/>
            <w:r>
              <w:t>PEG  DEĞİŞİMİ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7F555C" w:rsidRDefault="007F555C" w:rsidP="0044764D">
            <w:r>
              <w:t>PEG DEĞİŞTİRİLDİ</w:t>
            </w:r>
          </w:p>
        </w:tc>
      </w:tr>
      <w:tr w:rsidR="007F555C" w:rsidTr="0044764D">
        <w:tc>
          <w:tcPr>
            <w:tcW w:w="1842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AKCİĞER  CA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842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84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HBV</w:t>
            </w:r>
          </w:p>
        </w:tc>
        <w:tc>
          <w:tcPr>
            <w:tcW w:w="1843" w:type="dxa"/>
            <w:vAlign w:val="bottom"/>
          </w:tcPr>
          <w:p w:rsidR="007F555C" w:rsidRPr="00BB41F4" w:rsidRDefault="007F555C" w:rsidP="004476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1F4">
              <w:rPr>
                <w:rFonts w:ascii="Calibri" w:hAnsi="Calibri"/>
                <w:color w:val="000000"/>
                <w:sz w:val="20"/>
                <w:szCs w:val="20"/>
              </w:rPr>
              <w:t xml:space="preserve">HBV Tedavisi düzenlendi. </w:t>
            </w:r>
          </w:p>
        </w:tc>
      </w:tr>
      <w:tr w:rsidR="007F555C" w:rsidTr="0044764D">
        <w:tc>
          <w:tcPr>
            <w:tcW w:w="1842" w:type="dxa"/>
          </w:tcPr>
          <w:p w:rsidR="007F555C" w:rsidRDefault="007F555C" w:rsidP="0044764D">
            <w:proofErr w:type="gramStart"/>
            <w:r>
              <w:t>AKCİĞER  CA</w:t>
            </w:r>
            <w:proofErr w:type="gramEnd"/>
            <w:r>
              <w:t xml:space="preserve"> </w:t>
            </w:r>
          </w:p>
        </w:tc>
        <w:tc>
          <w:tcPr>
            <w:tcW w:w="1842" w:type="dxa"/>
          </w:tcPr>
          <w:p w:rsidR="007F555C" w:rsidRDefault="007F555C" w:rsidP="0044764D">
            <w:r>
              <w:t>56</w:t>
            </w:r>
          </w:p>
        </w:tc>
        <w:tc>
          <w:tcPr>
            <w:tcW w:w="1842" w:type="dxa"/>
          </w:tcPr>
          <w:p w:rsidR="007F555C" w:rsidRDefault="007F555C" w:rsidP="0044764D">
            <w:r>
              <w:t>E</w:t>
            </w:r>
          </w:p>
        </w:tc>
        <w:tc>
          <w:tcPr>
            <w:tcW w:w="1843" w:type="dxa"/>
          </w:tcPr>
          <w:p w:rsidR="007F555C" w:rsidRDefault="007F555C" w:rsidP="0044764D">
            <w:r>
              <w:t xml:space="preserve">DİSPEPSİ </w:t>
            </w:r>
          </w:p>
        </w:tc>
        <w:tc>
          <w:tcPr>
            <w:tcW w:w="1843" w:type="dxa"/>
          </w:tcPr>
          <w:p w:rsidR="007F555C" w:rsidRDefault="007F555C" w:rsidP="0044764D">
            <w:r>
              <w:t>GASTRİT</w:t>
            </w:r>
          </w:p>
        </w:tc>
      </w:tr>
      <w:tr w:rsidR="007F555C" w:rsidTr="0044764D">
        <w:tc>
          <w:tcPr>
            <w:tcW w:w="1842" w:type="dxa"/>
          </w:tcPr>
          <w:p w:rsidR="007F555C" w:rsidRDefault="007F555C" w:rsidP="0044764D">
            <w:proofErr w:type="gramStart"/>
            <w:r>
              <w:t>AKCİĞER  CA</w:t>
            </w:r>
            <w:proofErr w:type="gramEnd"/>
            <w:r>
              <w:t xml:space="preserve"> </w:t>
            </w:r>
          </w:p>
        </w:tc>
        <w:tc>
          <w:tcPr>
            <w:tcW w:w="1842" w:type="dxa"/>
          </w:tcPr>
          <w:p w:rsidR="007F555C" w:rsidRDefault="007F555C" w:rsidP="0044764D">
            <w:r>
              <w:t>65</w:t>
            </w:r>
          </w:p>
        </w:tc>
        <w:tc>
          <w:tcPr>
            <w:tcW w:w="1842" w:type="dxa"/>
          </w:tcPr>
          <w:p w:rsidR="007F555C" w:rsidRDefault="007F555C" w:rsidP="0044764D">
            <w:r>
              <w:t>K</w:t>
            </w:r>
          </w:p>
        </w:tc>
        <w:tc>
          <w:tcPr>
            <w:tcW w:w="1843" w:type="dxa"/>
          </w:tcPr>
          <w:p w:rsidR="007F555C" w:rsidRDefault="007F555C" w:rsidP="0044764D">
            <w:r>
              <w:t xml:space="preserve">HEMATOKEZYA </w:t>
            </w:r>
          </w:p>
        </w:tc>
        <w:tc>
          <w:tcPr>
            <w:tcW w:w="1843" w:type="dxa"/>
          </w:tcPr>
          <w:p w:rsidR="007F555C" w:rsidRDefault="007F555C" w:rsidP="0044764D">
            <w:proofErr w:type="gramStart"/>
            <w:r>
              <w:t>SEGMENTER  KOLİT</w:t>
            </w:r>
            <w:proofErr w:type="gramEnd"/>
          </w:p>
        </w:tc>
      </w:tr>
      <w:tr w:rsidR="007F555C" w:rsidTr="0044764D">
        <w:tc>
          <w:tcPr>
            <w:tcW w:w="1842" w:type="dxa"/>
          </w:tcPr>
          <w:p w:rsidR="007F555C" w:rsidRDefault="007F555C" w:rsidP="0044764D">
            <w:r>
              <w:t xml:space="preserve">GIS </w:t>
            </w:r>
            <w:proofErr w:type="gramStart"/>
            <w:r>
              <w:t>NÖROENDOKRİN  TÜMÖRÜ</w:t>
            </w:r>
            <w:proofErr w:type="gramEnd"/>
          </w:p>
        </w:tc>
        <w:tc>
          <w:tcPr>
            <w:tcW w:w="1842" w:type="dxa"/>
          </w:tcPr>
          <w:p w:rsidR="007F555C" w:rsidRDefault="007F555C" w:rsidP="0044764D">
            <w:r>
              <w:t>66</w:t>
            </w:r>
          </w:p>
        </w:tc>
        <w:tc>
          <w:tcPr>
            <w:tcW w:w="1842" w:type="dxa"/>
          </w:tcPr>
          <w:p w:rsidR="007F555C" w:rsidRDefault="007F555C" w:rsidP="0044764D">
            <w:r>
              <w:t>E</w:t>
            </w:r>
          </w:p>
        </w:tc>
        <w:tc>
          <w:tcPr>
            <w:tcW w:w="1843" w:type="dxa"/>
          </w:tcPr>
          <w:p w:rsidR="007F555C" w:rsidRDefault="007F555C" w:rsidP="0044764D">
            <w:proofErr w:type="gramStart"/>
            <w:r>
              <w:t>GIS  TARAMA</w:t>
            </w:r>
            <w:proofErr w:type="gramEnd"/>
          </w:p>
        </w:tc>
        <w:tc>
          <w:tcPr>
            <w:tcW w:w="1843" w:type="dxa"/>
          </w:tcPr>
          <w:p w:rsidR="007F555C" w:rsidRDefault="007F555C" w:rsidP="0044764D">
            <w:r>
              <w:t xml:space="preserve">GASTROSKOPİ-  </w:t>
            </w:r>
            <w:proofErr w:type="gramStart"/>
            <w:r>
              <w:t>KOLONOSKOPİ  NORMAL</w:t>
            </w:r>
            <w:proofErr w:type="gramEnd"/>
            <w:r>
              <w:t xml:space="preserve"> </w:t>
            </w:r>
          </w:p>
        </w:tc>
      </w:tr>
      <w:tr w:rsidR="007F555C" w:rsidTr="0044764D">
        <w:tc>
          <w:tcPr>
            <w:tcW w:w="1842" w:type="dxa"/>
          </w:tcPr>
          <w:p w:rsidR="007F555C" w:rsidRDefault="007F555C" w:rsidP="0044764D">
            <w:r>
              <w:t>ANEMİ</w:t>
            </w:r>
          </w:p>
        </w:tc>
        <w:tc>
          <w:tcPr>
            <w:tcW w:w="1842" w:type="dxa"/>
          </w:tcPr>
          <w:p w:rsidR="007F555C" w:rsidRDefault="007F555C" w:rsidP="0044764D">
            <w:r>
              <w:t>79</w:t>
            </w:r>
          </w:p>
        </w:tc>
        <w:tc>
          <w:tcPr>
            <w:tcW w:w="1842" w:type="dxa"/>
          </w:tcPr>
          <w:p w:rsidR="007F555C" w:rsidRDefault="007F555C" w:rsidP="0044764D">
            <w:r>
              <w:t>K</w:t>
            </w:r>
          </w:p>
        </w:tc>
        <w:tc>
          <w:tcPr>
            <w:tcW w:w="1843" w:type="dxa"/>
          </w:tcPr>
          <w:p w:rsidR="007F555C" w:rsidRDefault="007F555C" w:rsidP="0044764D">
            <w:proofErr w:type="gramStart"/>
            <w:r>
              <w:t>GIS  TARAMA</w:t>
            </w:r>
            <w:proofErr w:type="gramEnd"/>
          </w:p>
        </w:tc>
        <w:tc>
          <w:tcPr>
            <w:tcW w:w="1843" w:type="dxa"/>
          </w:tcPr>
          <w:p w:rsidR="007F555C" w:rsidRDefault="007F555C" w:rsidP="0044764D">
            <w:r>
              <w:t>KOLONOSKOPİ-  POLİP</w:t>
            </w:r>
          </w:p>
        </w:tc>
      </w:tr>
      <w:tr w:rsidR="007F555C" w:rsidTr="0044764D">
        <w:tc>
          <w:tcPr>
            <w:tcW w:w="1842" w:type="dxa"/>
          </w:tcPr>
          <w:p w:rsidR="007F555C" w:rsidRDefault="007F555C" w:rsidP="0044764D">
            <w:proofErr w:type="gramStart"/>
            <w:r>
              <w:t>REKTUM  CA</w:t>
            </w:r>
            <w:proofErr w:type="gramEnd"/>
            <w:r>
              <w:t xml:space="preserve"> </w:t>
            </w:r>
          </w:p>
        </w:tc>
        <w:tc>
          <w:tcPr>
            <w:tcW w:w="1842" w:type="dxa"/>
          </w:tcPr>
          <w:p w:rsidR="007F555C" w:rsidRDefault="007F555C" w:rsidP="0044764D">
            <w:r>
              <w:t>52</w:t>
            </w:r>
          </w:p>
        </w:tc>
        <w:tc>
          <w:tcPr>
            <w:tcW w:w="1842" w:type="dxa"/>
          </w:tcPr>
          <w:p w:rsidR="007F555C" w:rsidRDefault="007F555C" w:rsidP="0044764D">
            <w:r>
              <w:t>E</w:t>
            </w:r>
          </w:p>
        </w:tc>
        <w:tc>
          <w:tcPr>
            <w:tcW w:w="1843" w:type="dxa"/>
          </w:tcPr>
          <w:p w:rsidR="007F555C" w:rsidRDefault="007F555C" w:rsidP="0044764D">
            <w:r>
              <w:t xml:space="preserve">KONTROL </w:t>
            </w:r>
          </w:p>
        </w:tc>
        <w:tc>
          <w:tcPr>
            <w:tcW w:w="1843" w:type="dxa"/>
          </w:tcPr>
          <w:p w:rsidR="007F555C" w:rsidRDefault="007F555C" w:rsidP="0044764D">
            <w:proofErr w:type="gramStart"/>
            <w:r>
              <w:t>NÜKS  YOK</w:t>
            </w:r>
            <w:proofErr w:type="gramEnd"/>
            <w:r>
              <w:t xml:space="preserve"> </w:t>
            </w:r>
          </w:p>
        </w:tc>
      </w:tr>
    </w:tbl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2D066C" w:rsidRDefault="002D066C" w:rsidP="002D066C">
      <w:r>
        <w:t>*</w:t>
      </w:r>
      <w:proofErr w:type="gramStart"/>
      <w:r>
        <w:t>GIS:</w:t>
      </w:r>
      <w:proofErr w:type="spellStart"/>
      <w:r>
        <w:t>Gastrointestinal</w:t>
      </w:r>
      <w:proofErr w:type="spellEnd"/>
      <w:proofErr w:type="gramEnd"/>
      <w:r>
        <w:t xml:space="preserve">  sistem, KCFT:Karaciğer  fonksiyon  testleri, HBV:Hepatit B  virüsü, PEG:</w:t>
      </w:r>
      <w:proofErr w:type="spellStart"/>
      <w:r>
        <w:t>Perkütan</w:t>
      </w:r>
      <w:proofErr w:type="spellEnd"/>
      <w:r>
        <w:t xml:space="preserve">  endoskopik  </w:t>
      </w:r>
      <w:proofErr w:type="spellStart"/>
      <w:r>
        <w:t>gastrostomi</w:t>
      </w:r>
      <w:proofErr w:type="spellEnd"/>
      <w:r>
        <w:t>,</w:t>
      </w: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2D066C" w:rsidRDefault="002D066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  <w:proofErr w:type="gramStart"/>
      <w:r>
        <w:rPr>
          <w:rFonts w:ascii="Calibri" w:eastAsia="Times New Roman" w:hAnsi="Calibri" w:cs="Times New Roman"/>
          <w:color w:val="000000"/>
          <w:lang w:eastAsia="tr-TR"/>
        </w:rPr>
        <w:t>Tablo  2</w:t>
      </w:r>
      <w:proofErr w:type="gramEnd"/>
      <w:r>
        <w:rPr>
          <w:rFonts w:ascii="Calibri" w:eastAsia="Times New Roman" w:hAnsi="Calibri" w:cs="Times New Roman"/>
          <w:color w:val="000000"/>
          <w:lang w:eastAsia="tr-TR"/>
        </w:rPr>
        <w:t xml:space="preserve"> Hematoloji kliniği  hastaları  konsültasyon nedenleri  ve  konsültasyon sonuçları</w:t>
      </w: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p w:rsidR="007F555C" w:rsidRPr="00153690" w:rsidRDefault="007F555C" w:rsidP="007F555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tr-TR"/>
        </w:rPr>
      </w:pPr>
    </w:p>
    <w:tbl>
      <w:tblPr>
        <w:tblStyle w:val="TabloKlavuzu"/>
        <w:tblpPr w:leftFromText="141" w:rightFromText="141" w:vertAnchor="page" w:horzAnchor="margin" w:tblpY="2236"/>
        <w:tblW w:w="8613" w:type="dxa"/>
        <w:tblLook w:val="04A0"/>
      </w:tblPr>
      <w:tblGrid>
        <w:gridCol w:w="1935"/>
        <w:gridCol w:w="867"/>
        <w:gridCol w:w="919"/>
        <w:gridCol w:w="2483"/>
        <w:gridCol w:w="2409"/>
      </w:tblGrid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Tanı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Yaş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Cinsiyet</w:t>
            </w:r>
          </w:p>
        </w:tc>
        <w:tc>
          <w:tcPr>
            <w:tcW w:w="2483" w:type="dxa"/>
          </w:tcPr>
          <w:p w:rsidR="007F555C" w:rsidRPr="00AD3973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 w:rsidRPr="00AD3973">
              <w:rPr>
                <w:rFonts w:ascii="Calibri" w:hAnsi="Calibri"/>
                <w:color w:val="000000"/>
              </w:rPr>
              <w:t>Konsültasyon  Nedeni</w:t>
            </w:r>
            <w:proofErr w:type="gramEnd"/>
          </w:p>
        </w:tc>
        <w:tc>
          <w:tcPr>
            <w:tcW w:w="2409" w:type="dxa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Sonuç</w:t>
            </w:r>
          </w:p>
        </w:tc>
      </w:tr>
      <w:tr w:rsidR="007F555C" w:rsidTr="0044764D">
        <w:trPr>
          <w:trHeight w:val="428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AML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HCV,ÜK</w:t>
            </w:r>
            <w:proofErr w:type="gramEnd"/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HCV  ve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ÜK  tedavileri  düzenlendi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AML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Kcft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yüksekliği</w:t>
            </w:r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GVHD (Karaciğer)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AML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İshal</w:t>
            </w:r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CMV Koliti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AML- ÜK 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ÜK</w:t>
            </w:r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ÜK tedavi düzenlendi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AML(KIT)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GIS  Kanama</w:t>
            </w:r>
            <w:proofErr w:type="gramEnd"/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Trombositopeniye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bağlı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yaygın  </w:t>
            </w:r>
            <w:proofErr w:type="spellStart"/>
            <w:r>
              <w:rPr>
                <w:rFonts w:ascii="Calibri" w:hAnsi="Calibri"/>
                <w:color w:val="000000"/>
              </w:rPr>
              <w:t>mukozal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kanama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AML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HCV,ÜK</w:t>
            </w:r>
            <w:proofErr w:type="gramEnd"/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HCV  ve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ÜK  tedavileri  düzenlendi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AML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Kcft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yüksekliği</w:t>
            </w:r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GVHH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Kcft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yüksekliği</w:t>
            </w:r>
          </w:p>
        </w:tc>
        <w:tc>
          <w:tcPr>
            <w:tcW w:w="2409" w:type="dxa"/>
            <w:vAlign w:val="bottom"/>
          </w:tcPr>
          <w:p w:rsidR="007F555C" w:rsidRPr="006D22B1" w:rsidRDefault="007F555C" w:rsidP="004476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Toksi</w:t>
            </w:r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  <w:proofErr w:type="spellEnd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 xml:space="preserve">  Hepatit</w:t>
            </w:r>
            <w:proofErr w:type="gramEnd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 xml:space="preserve"> ( İlaca  bağlı)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Nüks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ALL (KİT) 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Kcft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yüksekliği</w:t>
            </w:r>
          </w:p>
        </w:tc>
        <w:tc>
          <w:tcPr>
            <w:tcW w:w="2409" w:type="dxa"/>
            <w:vAlign w:val="bottom"/>
          </w:tcPr>
          <w:p w:rsidR="007F555C" w:rsidRPr="006D22B1" w:rsidRDefault="007F555C" w:rsidP="004476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>Toksik</w:t>
            </w:r>
            <w:proofErr w:type="spellEnd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 xml:space="preserve">  Hepatit</w:t>
            </w:r>
            <w:proofErr w:type="gramEnd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 xml:space="preserve"> (İlaca  bağlı)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NÜKS ALL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Kcft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yüksekliği</w:t>
            </w:r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Şok  Karaciğeri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(Septik)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KLL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GIS  Kanama</w:t>
            </w:r>
            <w:proofErr w:type="gramEnd"/>
          </w:p>
        </w:tc>
        <w:tc>
          <w:tcPr>
            <w:tcW w:w="2409" w:type="dxa"/>
            <w:vAlign w:val="bottom"/>
          </w:tcPr>
          <w:p w:rsidR="007F555C" w:rsidRPr="00173160" w:rsidRDefault="007F555C" w:rsidP="004476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73160">
              <w:rPr>
                <w:rFonts w:ascii="Calibri" w:hAnsi="Calibri"/>
                <w:color w:val="000000"/>
                <w:sz w:val="18"/>
                <w:szCs w:val="18"/>
              </w:rPr>
              <w:t>Divertiküler</w:t>
            </w:r>
            <w:proofErr w:type="spellEnd"/>
            <w:r w:rsidRPr="00173160">
              <w:rPr>
                <w:rFonts w:ascii="Calibri" w:hAnsi="Calibri"/>
                <w:color w:val="000000"/>
                <w:sz w:val="18"/>
                <w:szCs w:val="18"/>
              </w:rPr>
              <w:t xml:space="preserve">  kanama</w:t>
            </w:r>
            <w:proofErr w:type="gramEnd"/>
            <w:r w:rsidRPr="00173160">
              <w:rPr>
                <w:rFonts w:ascii="Calibri" w:hAnsi="Calibri"/>
                <w:color w:val="000000"/>
                <w:sz w:val="18"/>
                <w:szCs w:val="18"/>
              </w:rPr>
              <w:t xml:space="preserve"> (Kolon)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SSS LENFOMA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Kcft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yüksekliği</w:t>
            </w:r>
          </w:p>
        </w:tc>
        <w:tc>
          <w:tcPr>
            <w:tcW w:w="2409" w:type="dxa"/>
            <w:vAlign w:val="bottom"/>
          </w:tcPr>
          <w:p w:rsidR="007F555C" w:rsidRPr="006D22B1" w:rsidRDefault="007F555C" w:rsidP="004476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>Toksik</w:t>
            </w:r>
            <w:proofErr w:type="spellEnd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 xml:space="preserve">  Hepatit</w:t>
            </w:r>
            <w:proofErr w:type="gramEnd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 xml:space="preserve"> (İlaca  bağlı)</w:t>
            </w:r>
          </w:p>
        </w:tc>
      </w:tr>
      <w:tr w:rsidR="007F555C" w:rsidTr="0044764D">
        <w:trPr>
          <w:trHeight w:val="260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SSS  LENFOMA</w:t>
            </w:r>
            <w:proofErr w:type="gramEnd"/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Kcft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yüksekliği</w:t>
            </w:r>
          </w:p>
        </w:tc>
        <w:tc>
          <w:tcPr>
            <w:tcW w:w="2409" w:type="dxa"/>
            <w:vAlign w:val="bottom"/>
          </w:tcPr>
          <w:p w:rsidR="007F555C" w:rsidRPr="00BB41F4" w:rsidRDefault="007F555C" w:rsidP="004476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41F4">
              <w:rPr>
                <w:rFonts w:ascii="Calibri" w:hAnsi="Calibri"/>
                <w:color w:val="000000"/>
                <w:sz w:val="18"/>
                <w:szCs w:val="18"/>
              </w:rPr>
              <w:t>Toksik</w:t>
            </w:r>
            <w:proofErr w:type="spellEnd"/>
            <w:r w:rsidRPr="00BB41F4">
              <w:rPr>
                <w:rFonts w:ascii="Calibri" w:hAnsi="Calibri"/>
                <w:color w:val="000000"/>
                <w:sz w:val="18"/>
                <w:szCs w:val="18"/>
              </w:rPr>
              <w:t xml:space="preserve">  Hepatit</w:t>
            </w:r>
            <w:proofErr w:type="gramEnd"/>
            <w:r w:rsidRPr="00BB41F4">
              <w:rPr>
                <w:rFonts w:ascii="Calibri" w:hAnsi="Calibri"/>
                <w:color w:val="000000"/>
                <w:sz w:val="18"/>
                <w:szCs w:val="18"/>
              </w:rPr>
              <w:t xml:space="preserve"> (İlaca  bağlı)</w:t>
            </w:r>
          </w:p>
        </w:tc>
      </w:tr>
      <w:tr w:rsidR="007F555C" w:rsidTr="0044764D">
        <w:trPr>
          <w:trHeight w:val="260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DBHL 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Kcft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yüksekliği</w:t>
            </w:r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Şok  Karaciğeri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(Septik)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MİDE  LENFOMA</w:t>
            </w:r>
            <w:proofErr w:type="gramEnd"/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KT </w:t>
            </w:r>
            <w:proofErr w:type="gramStart"/>
            <w:r>
              <w:rPr>
                <w:rFonts w:ascii="Calibri" w:hAnsi="Calibri"/>
                <w:color w:val="000000"/>
              </w:rPr>
              <w:t>sonrası  kontrol</w:t>
            </w:r>
            <w:proofErr w:type="gramEnd"/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Nüks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yok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lastRenderedPageBreak/>
              <w:t>MİDE  LENFOMA</w:t>
            </w:r>
            <w:proofErr w:type="gramEnd"/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KT </w:t>
            </w:r>
            <w:proofErr w:type="gramStart"/>
            <w:r>
              <w:rPr>
                <w:rFonts w:ascii="Calibri" w:hAnsi="Calibri"/>
                <w:color w:val="000000"/>
              </w:rPr>
              <w:t>sonrası  kontrol</w:t>
            </w:r>
            <w:proofErr w:type="gramEnd"/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Nüks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saptanmadı</w:t>
            </w:r>
            <w:proofErr w:type="gramEnd"/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NHL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HBV</w:t>
            </w:r>
          </w:p>
        </w:tc>
        <w:tc>
          <w:tcPr>
            <w:tcW w:w="2409" w:type="dxa"/>
            <w:vAlign w:val="bottom"/>
          </w:tcPr>
          <w:p w:rsidR="007F555C" w:rsidRPr="006D22B1" w:rsidRDefault="007F555C" w:rsidP="004476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>HBV  Tedavisi</w:t>
            </w:r>
            <w:proofErr w:type="gramEnd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 xml:space="preserve">  düzenlendi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NHL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GIS Kanama</w:t>
            </w:r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Şok  Karaciğeri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(Septik)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GIS  Kanama</w:t>
            </w:r>
            <w:proofErr w:type="gramEnd"/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Şok  Karaciğeri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( Septik)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GIS  </w:t>
            </w:r>
            <w:proofErr w:type="gramStart"/>
            <w:r>
              <w:rPr>
                <w:rFonts w:ascii="Calibri" w:hAnsi="Calibri"/>
                <w:color w:val="000000"/>
              </w:rPr>
              <w:t>Kanama,ishal</w:t>
            </w:r>
            <w:proofErr w:type="gramEnd"/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GVHH (Kolon)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MM(KİT)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Pr="00975C0C" w:rsidRDefault="007F555C" w:rsidP="004476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75C0C">
              <w:rPr>
                <w:rFonts w:ascii="Calibri" w:hAnsi="Calibri"/>
                <w:color w:val="000000"/>
                <w:sz w:val="18"/>
                <w:szCs w:val="18"/>
              </w:rPr>
              <w:t>Karaciğerde  Kitlesel</w:t>
            </w:r>
            <w:proofErr w:type="gramEnd"/>
            <w:r w:rsidRPr="00975C0C">
              <w:rPr>
                <w:rFonts w:ascii="Calibri" w:hAnsi="Calibri"/>
                <w:color w:val="000000"/>
                <w:sz w:val="18"/>
                <w:szCs w:val="18"/>
              </w:rPr>
              <w:t xml:space="preserve">  lezyon</w:t>
            </w:r>
          </w:p>
        </w:tc>
        <w:tc>
          <w:tcPr>
            <w:tcW w:w="2409" w:type="dxa"/>
            <w:vAlign w:val="bottom"/>
          </w:tcPr>
          <w:p w:rsidR="007F555C" w:rsidRPr="006D22B1" w:rsidRDefault="007F555C" w:rsidP="004476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>MM-</w:t>
            </w:r>
            <w:proofErr w:type="gramStart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>Karaciğer  tutulumu</w:t>
            </w:r>
            <w:proofErr w:type="gramEnd"/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İshal</w:t>
            </w:r>
          </w:p>
        </w:tc>
        <w:tc>
          <w:tcPr>
            <w:tcW w:w="2409" w:type="dxa"/>
            <w:vAlign w:val="bottom"/>
          </w:tcPr>
          <w:p w:rsidR="007F555C" w:rsidRPr="006D22B1" w:rsidRDefault="007F555C" w:rsidP="004476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>Non</w:t>
            </w:r>
            <w:proofErr w:type="spellEnd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proofErr w:type="gramStart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>spesifik</w:t>
            </w:r>
            <w:proofErr w:type="gramEnd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22B1">
              <w:rPr>
                <w:rFonts w:ascii="Calibri" w:hAnsi="Calibri"/>
                <w:color w:val="000000"/>
                <w:sz w:val="18"/>
                <w:szCs w:val="18"/>
              </w:rPr>
              <w:t>gastroenterit</w:t>
            </w:r>
            <w:proofErr w:type="spellEnd"/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GIS  </w:t>
            </w:r>
            <w:proofErr w:type="gramStart"/>
            <w:r>
              <w:rPr>
                <w:rFonts w:ascii="Calibri" w:hAnsi="Calibri"/>
                <w:color w:val="000000"/>
              </w:rPr>
              <w:t>Kanama , ishal</w:t>
            </w:r>
            <w:proofErr w:type="gramEnd"/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GVHH (Kolon)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MM( KİT)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 w:rsidRPr="00975C0C">
              <w:rPr>
                <w:rFonts w:ascii="Calibri" w:hAnsi="Calibri"/>
                <w:color w:val="000000"/>
                <w:sz w:val="18"/>
                <w:szCs w:val="18"/>
              </w:rPr>
              <w:t>Karaciğerde  Kitlesel</w:t>
            </w:r>
            <w:proofErr w:type="gramEnd"/>
            <w:r w:rsidRPr="00975C0C">
              <w:rPr>
                <w:rFonts w:ascii="Calibri" w:hAnsi="Calibri"/>
                <w:color w:val="000000"/>
                <w:sz w:val="18"/>
                <w:szCs w:val="18"/>
              </w:rPr>
              <w:t xml:space="preserve">  lezyon</w:t>
            </w:r>
          </w:p>
        </w:tc>
        <w:tc>
          <w:tcPr>
            <w:tcW w:w="2409" w:type="dxa"/>
            <w:vAlign w:val="bottom"/>
          </w:tcPr>
          <w:p w:rsidR="007F555C" w:rsidRPr="00173160" w:rsidRDefault="007F555C" w:rsidP="004476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3160">
              <w:rPr>
                <w:rFonts w:ascii="Calibri" w:hAnsi="Calibri"/>
                <w:color w:val="000000"/>
                <w:sz w:val="18"/>
                <w:szCs w:val="18"/>
              </w:rPr>
              <w:t>MM-</w:t>
            </w:r>
            <w:proofErr w:type="gramStart"/>
            <w:r w:rsidRPr="00173160">
              <w:rPr>
                <w:rFonts w:ascii="Calibri" w:hAnsi="Calibri"/>
                <w:color w:val="000000"/>
                <w:sz w:val="18"/>
                <w:szCs w:val="18"/>
              </w:rPr>
              <w:t>Karaciğer  tutulumu</w:t>
            </w:r>
            <w:proofErr w:type="gramEnd"/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Pr="00174DA6" w:rsidRDefault="007F555C" w:rsidP="004476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SİDEROBLASTİK </w:t>
            </w:r>
            <w:r w:rsidRPr="00174DA6">
              <w:rPr>
                <w:rFonts w:ascii="Calibri" w:hAnsi="Calibri"/>
                <w:color w:val="000000"/>
                <w:sz w:val="18"/>
                <w:szCs w:val="18"/>
              </w:rPr>
              <w:t>ANEMİ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Kcft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yüksekliği</w:t>
            </w:r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Şok Karaciğeri (Septik)</w:t>
            </w:r>
          </w:p>
        </w:tc>
      </w:tr>
      <w:tr w:rsidR="007F555C" w:rsidTr="0044764D">
        <w:trPr>
          <w:trHeight w:val="275"/>
        </w:trPr>
        <w:tc>
          <w:tcPr>
            <w:tcW w:w="1935" w:type="dxa"/>
            <w:vAlign w:val="bottom"/>
          </w:tcPr>
          <w:p w:rsidR="007F555C" w:rsidRPr="005353CC" w:rsidRDefault="007F555C" w:rsidP="004476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SİDEROBLASTİK </w:t>
            </w:r>
            <w:r w:rsidRPr="005353CC">
              <w:rPr>
                <w:rFonts w:ascii="Calibri" w:hAnsi="Calibri"/>
                <w:color w:val="000000"/>
                <w:sz w:val="18"/>
                <w:szCs w:val="18"/>
              </w:rPr>
              <w:t>ANEMİ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Kcft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yüksekliği</w:t>
            </w:r>
          </w:p>
        </w:tc>
        <w:tc>
          <w:tcPr>
            <w:tcW w:w="240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Şok  Karaciğeri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(Septik)</w:t>
            </w:r>
          </w:p>
        </w:tc>
      </w:tr>
      <w:tr w:rsidR="007F555C" w:rsidTr="0044764D">
        <w:trPr>
          <w:trHeight w:val="260"/>
        </w:trPr>
        <w:tc>
          <w:tcPr>
            <w:tcW w:w="1935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DEA</w:t>
            </w:r>
          </w:p>
        </w:tc>
        <w:tc>
          <w:tcPr>
            <w:tcW w:w="867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19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2483" w:type="dxa"/>
            <w:vAlign w:val="bottom"/>
          </w:tcPr>
          <w:p w:rsidR="007F555C" w:rsidRDefault="007F555C" w:rsidP="004476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DEA</w:t>
            </w:r>
          </w:p>
        </w:tc>
        <w:tc>
          <w:tcPr>
            <w:tcW w:w="2409" w:type="dxa"/>
            <w:vAlign w:val="bottom"/>
          </w:tcPr>
          <w:p w:rsidR="007F555C" w:rsidRPr="00173160" w:rsidRDefault="007F555C" w:rsidP="004476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73160">
              <w:rPr>
                <w:rFonts w:ascii="Calibri" w:hAnsi="Calibri"/>
                <w:color w:val="000000"/>
                <w:sz w:val="18"/>
                <w:szCs w:val="18"/>
              </w:rPr>
              <w:t>Divertiküler</w:t>
            </w:r>
            <w:proofErr w:type="spellEnd"/>
            <w:r w:rsidRPr="00173160">
              <w:rPr>
                <w:rFonts w:ascii="Calibri" w:hAnsi="Calibri"/>
                <w:color w:val="000000"/>
                <w:sz w:val="18"/>
                <w:szCs w:val="18"/>
              </w:rPr>
              <w:t xml:space="preserve"> kanama( Kolon)</w:t>
            </w:r>
          </w:p>
        </w:tc>
      </w:tr>
    </w:tbl>
    <w:p w:rsidR="009B2C64" w:rsidRPr="008D29B8" w:rsidRDefault="009B2C64" w:rsidP="00AD5F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Default="00D9616D" w:rsidP="00D9616D">
      <w:pPr>
        <w:pStyle w:val="ListeParagraf"/>
        <w:jc w:val="both"/>
        <w:rPr>
          <w:sz w:val="16"/>
          <w:szCs w:val="16"/>
          <w:vertAlign w:val="superscript"/>
        </w:rPr>
      </w:pPr>
    </w:p>
    <w:p w:rsidR="00D9616D" w:rsidRPr="00CF75BB" w:rsidRDefault="002D066C" w:rsidP="00CF75BB">
      <w:pPr>
        <w:jc w:val="both"/>
        <w:rPr>
          <w:sz w:val="16"/>
          <w:szCs w:val="16"/>
        </w:rPr>
      </w:pPr>
      <w:r w:rsidRPr="00CF75BB">
        <w:rPr>
          <w:sz w:val="16"/>
          <w:szCs w:val="16"/>
        </w:rPr>
        <w:t>*</w:t>
      </w:r>
      <w:r w:rsidR="00D9616D" w:rsidRPr="00CF75BB">
        <w:rPr>
          <w:sz w:val="16"/>
          <w:szCs w:val="16"/>
        </w:rPr>
        <w:t xml:space="preserve">Akut </w:t>
      </w:r>
      <w:proofErr w:type="spellStart"/>
      <w:r w:rsidR="00D9616D" w:rsidRPr="00CF75BB">
        <w:rPr>
          <w:sz w:val="16"/>
          <w:szCs w:val="16"/>
        </w:rPr>
        <w:t>myeloblastik</w:t>
      </w:r>
      <w:proofErr w:type="spellEnd"/>
      <w:r w:rsidR="00D9616D" w:rsidRPr="00CF75BB">
        <w:rPr>
          <w:sz w:val="16"/>
          <w:szCs w:val="16"/>
        </w:rPr>
        <w:t xml:space="preserve">  </w:t>
      </w:r>
      <w:proofErr w:type="gramStart"/>
      <w:r w:rsidR="00D9616D" w:rsidRPr="00CF75BB">
        <w:rPr>
          <w:sz w:val="16"/>
          <w:szCs w:val="16"/>
        </w:rPr>
        <w:t>lösemi,SSS</w:t>
      </w:r>
      <w:proofErr w:type="gramEnd"/>
      <w:r w:rsidR="00D9616D" w:rsidRPr="00CF75BB">
        <w:rPr>
          <w:sz w:val="16"/>
          <w:szCs w:val="16"/>
        </w:rPr>
        <w:t>:Santral  sinir  sistemi,DEA:Demir  eksikliği  anemisi,MM:</w:t>
      </w:r>
      <w:proofErr w:type="spellStart"/>
      <w:r w:rsidR="00D9616D" w:rsidRPr="00CF75BB">
        <w:rPr>
          <w:sz w:val="16"/>
          <w:szCs w:val="16"/>
        </w:rPr>
        <w:t>Multiple</w:t>
      </w:r>
      <w:proofErr w:type="spellEnd"/>
      <w:r w:rsidR="00D9616D" w:rsidRPr="00CF75BB">
        <w:rPr>
          <w:sz w:val="16"/>
          <w:szCs w:val="16"/>
        </w:rPr>
        <w:t xml:space="preserve">  </w:t>
      </w:r>
      <w:proofErr w:type="spellStart"/>
      <w:r w:rsidR="00D9616D" w:rsidRPr="00CF75BB">
        <w:rPr>
          <w:sz w:val="16"/>
          <w:szCs w:val="16"/>
        </w:rPr>
        <w:t>Myelom</w:t>
      </w:r>
      <w:proofErr w:type="spellEnd"/>
      <w:r w:rsidR="00D9616D" w:rsidRPr="00CF75BB">
        <w:rPr>
          <w:sz w:val="16"/>
          <w:szCs w:val="16"/>
        </w:rPr>
        <w:t xml:space="preserve">,ALL:Akut  </w:t>
      </w:r>
      <w:proofErr w:type="spellStart"/>
      <w:r w:rsidR="00D9616D" w:rsidRPr="00CF75BB">
        <w:rPr>
          <w:sz w:val="16"/>
          <w:szCs w:val="16"/>
        </w:rPr>
        <w:t>lenfositik</w:t>
      </w:r>
      <w:proofErr w:type="spellEnd"/>
      <w:r w:rsidR="00D9616D" w:rsidRPr="00CF75BB">
        <w:rPr>
          <w:sz w:val="16"/>
          <w:szCs w:val="16"/>
        </w:rPr>
        <w:t xml:space="preserve">  lösemi, KİT:</w:t>
      </w:r>
      <w:proofErr w:type="spellStart"/>
      <w:r w:rsidR="00D9616D" w:rsidRPr="00CF75BB">
        <w:rPr>
          <w:sz w:val="16"/>
          <w:szCs w:val="16"/>
        </w:rPr>
        <w:t>Kemikiliği</w:t>
      </w:r>
      <w:proofErr w:type="spellEnd"/>
      <w:r w:rsidR="00D9616D" w:rsidRPr="00CF75BB">
        <w:rPr>
          <w:sz w:val="16"/>
          <w:szCs w:val="16"/>
        </w:rPr>
        <w:t xml:space="preserve">  transplantasyonu,ÜK:</w:t>
      </w:r>
      <w:proofErr w:type="spellStart"/>
      <w:r w:rsidR="00D9616D" w:rsidRPr="00CF75BB">
        <w:rPr>
          <w:sz w:val="16"/>
          <w:szCs w:val="16"/>
        </w:rPr>
        <w:t>Ülseratif</w:t>
      </w:r>
      <w:proofErr w:type="spellEnd"/>
      <w:r w:rsidR="00D9616D" w:rsidRPr="00CF75BB">
        <w:rPr>
          <w:sz w:val="16"/>
          <w:szCs w:val="16"/>
        </w:rPr>
        <w:t xml:space="preserve">  Kolit,DBHL:</w:t>
      </w:r>
      <w:proofErr w:type="spellStart"/>
      <w:r w:rsidR="00D9616D" w:rsidRPr="00CF75BB">
        <w:rPr>
          <w:sz w:val="16"/>
          <w:szCs w:val="16"/>
        </w:rPr>
        <w:t>Diffüz</w:t>
      </w:r>
      <w:proofErr w:type="spellEnd"/>
      <w:r w:rsidR="00D9616D" w:rsidRPr="00CF75BB">
        <w:rPr>
          <w:sz w:val="16"/>
          <w:szCs w:val="16"/>
        </w:rPr>
        <w:t xml:space="preserve">  büyük  hücreli  </w:t>
      </w:r>
      <w:proofErr w:type="spellStart"/>
      <w:r w:rsidR="00D9616D" w:rsidRPr="00CF75BB">
        <w:rPr>
          <w:sz w:val="16"/>
          <w:szCs w:val="16"/>
        </w:rPr>
        <w:t>lenfoma</w:t>
      </w:r>
      <w:proofErr w:type="spellEnd"/>
      <w:r w:rsidR="00D9616D" w:rsidRPr="00CF75BB">
        <w:rPr>
          <w:sz w:val="16"/>
          <w:szCs w:val="16"/>
        </w:rPr>
        <w:t>,NHL:</w:t>
      </w:r>
      <w:proofErr w:type="spellStart"/>
      <w:r w:rsidR="00D9616D" w:rsidRPr="00CF75BB">
        <w:rPr>
          <w:sz w:val="16"/>
          <w:szCs w:val="16"/>
        </w:rPr>
        <w:t>Non</w:t>
      </w:r>
      <w:proofErr w:type="spellEnd"/>
      <w:r w:rsidR="00D9616D" w:rsidRPr="00CF75BB">
        <w:rPr>
          <w:sz w:val="16"/>
          <w:szCs w:val="16"/>
        </w:rPr>
        <w:t>-</w:t>
      </w:r>
      <w:proofErr w:type="spellStart"/>
      <w:r w:rsidR="00D9616D" w:rsidRPr="00CF75BB">
        <w:rPr>
          <w:sz w:val="16"/>
          <w:szCs w:val="16"/>
        </w:rPr>
        <w:t>Hodgkin</w:t>
      </w:r>
      <w:proofErr w:type="spellEnd"/>
      <w:r w:rsidR="00D9616D" w:rsidRPr="00CF75BB">
        <w:rPr>
          <w:sz w:val="16"/>
          <w:szCs w:val="16"/>
        </w:rPr>
        <w:t xml:space="preserve"> </w:t>
      </w:r>
      <w:proofErr w:type="spellStart"/>
      <w:r w:rsidR="00D9616D" w:rsidRPr="00CF75BB">
        <w:rPr>
          <w:sz w:val="16"/>
          <w:szCs w:val="16"/>
        </w:rPr>
        <w:t>Lenfoma</w:t>
      </w:r>
      <w:proofErr w:type="spellEnd"/>
      <w:r w:rsidR="00D9616D" w:rsidRPr="00CF75BB">
        <w:rPr>
          <w:sz w:val="16"/>
          <w:szCs w:val="16"/>
        </w:rPr>
        <w:t>, HL:</w:t>
      </w:r>
      <w:proofErr w:type="spellStart"/>
      <w:r w:rsidR="00D9616D" w:rsidRPr="00CF75BB">
        <w:rPr>
          <w:sz w:val="16"/>
          <w:szCs w:val="16"/>
        </w:rPr>
        <w:t>Hodgkin</w:t>
      </w:r>
      <w:proofErr w:type="spellEnd"/>
      <w:r w:rsidR="00D9616D" w:rsidRPr="00CF75BB">
        <w:rPr>
          <w:sz w:val="16"/>
          <w:szCs w:val="16"/>
        </w:rPr>
        <w:t xml:space="preserve">  </w:t>
      </w:r>
      <w:proofErr w:type="spellStart"/>
      <w:r w:rsidR="00D9616D" w:rsidRPr="00CF75BB">
        <w:rPr>
          <w:sz w:val="16"/>
          <w:szCs w:val="16"/>
        </w:rPr>
        <w:t>lenfoma</w:t>
      </w:r>
      <w:proofErr w:type="spellEnd"/>
      <w:r w:rsidR="00D9616D" w:rsidRPr="00CF75BB">
        <w:rPr>
          <w:sz w:val="16"/>
          <w:szCs w:val="16"/>
        </w:rPr>
        <w:t>,</w:t>
      </w:r>
      <w:proofErr w:type="spellStart"/>
      <w:r w:rsidR="00D9616D" w:rsidRPr="00CF75BB">
        <w:rPr>
          <w:sz w:val="16"/>
          <w:szCs w:val="16"/>
        </w:rPr>
        <w:t>hcv</w:t>
      </w:r>
      <w:proofErr w:type="spellEnd"/>
      <w:r w:rsidR="00D9616D" w:rsidRPr="00CF75BB">
        <w:rPr>
          <w:sz w:val="16"/>
          <w:szCs w:val="16"/>
        </w:rPr>
        <w:t xml:space="preserve">:Hepatit C  Virüsü, </w:t>
      </w:r>
      <w:proofErr w:type="spellStart"/>
      <w:r w:rsidR="00D9616D" w:rsidRPr="00CF75BB">
        <w:rPr>
          <w:sz w:val="16"/>
          <w:szCs w:val="16"/>
        </w:rPr>
        <w:t>Kcft</w:t>
      </w:r>
      <w:proofErr w:type="spellEnd"/>
      <w:r w:rsidR="00D9616D" w:rsidRPr="00CF75BB">
        <w:rPr>
          <w:sz w:val="16"/>
          <w:szCs w:val="16"/>
        </w:rPr>
        <w:t>:Karaciğer  fonksiyon  testleri,HBV:Hepatit B  virüsü,GVHH:</w:t>
      </w:r>
      <w:proofErr w:type="spellStart"/>
      <w:r w:rsidR="00D9616D" w:rsidRPr="00CF75BB">
        <w:rPr>
          <w:sz w:val="16"/>
          <w:szCs w:val="16"/>
        </w:rPr>
        <w:t>Greft</w:t>
      </w:r>
      <w:proofErr w:type="spellEnd"/>
      <w:r w:rsidR="00D9616D" w:rsidRPr="00CF75BB">
        <w:rPr>
          <w:sz w:val="16"/>
          <w:szCs w:val="16"/>
        </w:rPr>
        <w:t xml:space="preserve">  </w:t>
      </w:r>
      <w:proofErr w:type="spellStart"/>
      <w:r w:rsidR="00D9616D" w:rsidRPr="00CF75BB">
        <w:rPr>
          <w:sz w:val="16"/>
          <w:szCs w:val="16"/>
        </w:rPr>
        <w:t>versus</w:t>
      </w:r>
      <w:proofErr w:type="spellEnd"/>
      <w:r w:rsidR="00D9616D" w:rsidRPr="00CF75BB">
        <w:rPr>
          <w:sz w:val="16"/>
          <w:szCs w:val="16"/>
        </w:rPr>
        <w:t xml:space="preserve">  </w:t>
      </w:r>
      <w:proofErr w:type="spellStart"/>
      <w:r w:rsidR="00D9616D" w:rsidRPr="00CF75BB">
        <w:rPr>
          <w:sz w:val="16"/>
          <w:szCs w:val="16"/>
        </w:rPr>
        <w:t>host</w:t>
      </w:r>
      <w:proofErr w:type="spellEnd"/>
      <w:r w:rsidR="00D9616D" w:rsidRPr="00CF75BB">
        <w:rPr>
          <w:sz w:val="16"/>
          <w:szCs w:val="16"/>
        </w:rPr>
        <w:t xml:space="preserve">  hastalığı,</w:t>
      </w:r>
    </w:p>
    <w:p w:rsidR="00AD5FF8" w:rsidRPr="0082482C" w:rsidRDefault="00AD5FF8" w:rsidP="008248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5FF8" w:rsidRPr="0082482C" w:rsidSect="0019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1E6"/>
    <w:rsid w:val="000468FB"/>
    <w:rsid w:val="000A5806"/>
    <w:rsid w:val="0011180A"/>
    <w:rsid w:val="00190E63"/>
    <w:rsid w:val="001A5CAC"/>
    <w:rsid w:val="001F4FDF"/>
    <w:rsid w:val="0022554D"/>
    <w:rsid w:val="00250991"/>
    <w:rsid w:val="002D066C"/>
    <w:rsid w:val="002D4981"/>
    <w:rsid w:val="00376877"/>
    <w:rsid w:val="003A1259"/>
    <w:rsid w:val="003B38BE"/>
    <w:rsid w:val="003D1E7C"/>
    <w:rsid w:val="00483786"/>
    <w:rsid w:val="004D0F27"/>
    <w:rsid w:val="004E79EC"/>
    <w:rsid w:val="00564199"/>
    <w:rsid w:val="005C6E3D"/>
    <w:rsid w:val="005F008A"/>
    <w:rsid w:val="0063681B"/>
    <w:rsid w:val="00675729"/>
    <w:rsid w:val="006B651B"/>
    <w:rsid w:val="00746762"/>
    <w:rsid w:val="007F555C"/>
    <w:rsid w:val="007F709A"/>
    <w:rsid w:val="0082482C"/>
    <w:rsid w:val="008372B1"/>
    <w:rsid w:val="008823A1"/>
    <w:rsid w:val="008D0089"/>
    <w:rsid w:val="009B2C64"/>
    <w:rsid w:val="009E392F"/>
    <w:rsid w:val="00A10659"/>
    <w:rsid w:val="00AD5FF8"/>
    <w:rsid w:val="00AF13D8"/>
    <w:rsid w:val="00B1241E"/>
    <w:rsid w:val="00BD5931"/>
    <w:rsid w:val="00BF60A8"/>
    <w:rsid w:val="00C11750"/>
    <w:rsid w:val="00C55CA3"/>
    <w:rsid w:val="00C84969"/>
    <w:rsid w:val="00CD332B"/>
    <w:rsid w:val="00CF75BB"/>
    <w:rsid w:val="00D73D48"/>
    <w:rsid w:val="00D9616D"/>
    <w:rsid w:val="00DE73CE"/>
    <w:rsid w:val="00DF2975"/>
    <w:rsid w:val="00E4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F4FD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FD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F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9616D"/>
    <w:pPr>
      <w:ind w:left="720"/>
      <w:contextualSpacing/>
    </w:pPr>
  </w:style>
  <w:style w:type="paragraph" w:customStyle="1" w:styleId="headinganchor">
    <w:name w:val="headinganchor"/>
    <w:basedOn w:val="Normal"/>
    <w:rsid w:val="00D7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D73D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D332B"/>
    <w:rPr>
      <w:color w:val="0000FF"/>
      <w:u w:val="single"/>
    </w:rPr>
  </w:style>
  <w:style w:type="character" w:customStyle="1" w:styleId="jrnl">
    <w:name w:val="jrnl"/>
    <w:basedOn w:val="VarsaylanParagrafYazTipi"/>
    <w:rsid w:val="00CD3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2563164" TargetMode="External"/><Relationship Id="rId5" Type="http://schemas.openxmlformats.org/officeDocument/2006/relationships/hyperlink" Target="https://www.ncbi.nlm.nih.gov/pubmed/27034810" TargetMode="External"/><Relationship Id="rId4" Type="http://schemas.openxmlformats.org/officeDocument/2006/relationships/hyperlink" Target="https://www.ncbi.nlm.nih.gov/pubmed/2919264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genco.gencdal</dc:creator>
  <cp:lastModifiedBy>genco.gencdal</cp:lastModifiedBy>
  <cp:revision>33</cp:revision>
  <dcterms:created xsi:type="dcterms:W3CDTF">2017-11-21T09:21:00Z</dcterms:created>
  <dcterms:modified xsi:type="dcterms:W3CDTF">2017-12-12T15:40:00Z</dcterms:modified>
</cp:coreProperties>
</file>