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DD" w:rsidRDefault="00D16659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59">
        <w:rPr>
          <w:rFonts w:ascii="Times New Roman" w:hAnsi="Times New Roman" w:cs="Times New Roman"/>
          <w:b/>
          <w:sz w:val="24"/>
          <w:szCs w:val="24"/>
        </w:rPr>
        <w:t xml:space="preserve">ANATOMİ EĞİTİMİNDE </w:t>
      </w:r>
      <w:r w:rsidR="00416EAE">
        <w:rPr>
          <w:rFonts w:ascii="Times New Roman" w:hAnsi="Times New Roman" w:cs="Times New Roman"/>
          <w:b/>
          <w:sz w:val="24"/>
          <w:szCs w:val="24"/>
        </w:rPr>
        <w:t xml:space="preserve">RADYOLOJİK VE KLİNİK ANATOMİNİN YERİ: </w:t>
      </w:r>
      <w:r w:rsidRPr="00D16659">
        <w:rPr>
          <w:rFonts w:ascii="Times New Roman" w:hAnsi="Times New Roman" w:cs="Times New Roman"/>
          <w:b/>
          <w:sz w:val="24"/>
          <w:szCs w:val="24"/>
        </w:rPr>
        <w:t>ÖĞRENCİ GÖRÜŞLERİ</w:t>
      </w:r>
    </w:p>
    <w:p w:rsidR="00CE1E67" w:rsidRDefault="00CE1E67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İ. Nadir GÜLEKON</w:t>
      </w:r>
    </w:p>
    <w:p w:rsidR="00CE1E67" w:rsidRPr="00D16659" w:rsidRDefault="00CE1E67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Gazi Üniversitesi Tıp Fakültesi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Anbatomi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Anabilim Dalı</w:t>
      </w:r>
      <w:r w:rsidR="0041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6EAE">
        <w:rPr>
          <w:rFonts w:ascii="Times New Roman" w:hAnsi="Times New Roman" w:cs="Times New Roman"/>
          <w:b/>
          <w:sz w:val="24"/>
          <w:szCs w:val="24"/>
        </w:rPr>
        <w:t>Beşevler</w:t>
      </w:r>
      <w:proofErr w:type="spellEnd"/>
      <w:r w:rsidR="00416EAE">
        <w:rPr>
          <w:rFonts w:ascii="Times New Roman" w:hAnsi="Times New Roman" w:cs="Times New Roman"/>
          <w:b/>
          <w:sz w:val="24"/>
          <w:szCs w:val="24"/>
        </w:rPr>
        <w:t>, Ankara</w:t>
      </w:r>
    </w:p>
    <w:p w:rsidR="00D16659" w:rsidRDefault="00D16659" w:rsidP="00D6375E">
      <w:pPr>
        <w:spacing w:after="0" w:line="240" w:lineRule="auto"/>
        <w:jc w:val="both"/>
        <w:rPr>
          <w:b/>
          <w:sz w:val="24"/>
          <w:szCs w:val="24"/>
        </w:rPr>
      </w:pPr>
    </w:p>
    <w:p w:rsidR="00D16659" w:rsidRPr="00F06A4F" w:rsidRDefault="00416EAE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416EAE" w:rsidRDefault="00416EA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AE">
        <w:rPr>
          <w:rFonts w:ascii="Times New Roman" w:hAnsi="Times New Roman" w:cs="Times New Roman"/>
          <w:b/>
          <w:sz w:val="24"/>
          <w:szCs w:val="24"/>
        </w:rPr>
        <w:t>Amaç: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Tıp Fakültesinde </w:t>
      </w:r>
      <w:proofErr w:type="spellStart"/>
      <w:r w:rsidR="005E4AFE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="005E4AFE">
        <w:rPr>
          <w:rFonts w:ascii="Times New Roman" w:hAnsi="Times New Roman" w:cs="Times New Roman"/>
          <w:sz w:val="24"/>
          <w:szCs w:val="24"/>
        </w:rPr>
        <w:t xml:space="preserve"> sınıflarda </w:t>
      </w:r>
      <w:r w:rsidR="008F04C2">
        <w:rPr>
          <w:rFonts w:ascii="Times New Roman" w:hAnsi="Times New Roman" w:cs="Times New Roman"/>
          <w:sz w:val="24"/>
          <w:szCs w:val="24"/>
        </w:rPr>
        <w:t xml:space="preserve">okutulan Anatomi temelde ders kitapları, dersler ve kadavra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diseksiyonlarına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dayandırılmaktadır.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5E4AFE">
        <w:rPr>
          <w:rFonts w:ascii="Times New Roman" w:hAnsi="Times New Roman" w:cs="Times New Roman"/>
          <w:sz w:val="24"/>
          <w:szCs w:val="24"/>
        </w:rPr>
        <w:t xml:space="preserve">içerisinde Radyolojik ve Klinik anatomik bilgiler verilmesinin </w:t>
      </w:r>
      <w:r w:rsidR="00D16659" w:rsidRPr="00F06A4F">
        <w:rPr>
          <w:rFonts w:ascii="Times New Roman" w:hAnsi="Times New Roman" w:cs="Times New Roman"/>
          <w:sz w:val="24"/>
          <w:szCs w:val="24"/>
        </w:rPr>
        <w:t>öğren</w:t>
      </w:r>
      <w:r w:rsidR="005E4AFE">
        <w:rPr>
          <w:rFonts w:ascii="Times New Roman" w:hAnsi="Times New Roman" w:cs="Times New Roman"/>
          <w:sz w:val="24"/>
          <w:szCs w:val="24"/>
        </w:rPr>
        <w:t>cinin anatomi dersini öğrenmesini ve anlamasını nasıl etkilediği ve klinik sınıflara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 yönelik olarak </w:t>
      </w:r>
      <w:r w:rsidR="005E4AFE">
        <w:rPr>
          <w:rFonts w:ascii="Times New Roman" w:hAnsi="Times New Roman" w:cs="Times New Roman"/>
          <w:sz w:val="24"/>
          <w:szCs w:val="24"/>
        </w:rPr>
        <w:t xml:space="preserve">da </w:t>
      </w:r>
      <w:r w:rsidR="00D16659" w:rsidRPr="00F06A4F">
        <w:rPr>
          <w:rFonts w:ascii="Times New Roman" w:hAnsi="Times New Roman" w:cs="Times New Roman"/>
          <w:sz w:val="24"/>
          <w:szCs w:val="24"/>
        </w:rPr>
        <w:t>verilmesi</w:t>
      </w:r>
      <w:r w:rsidR="005E4AFE">
        <w:rPr>
          <w:rFonts w:ascii="Times New Roman" w:hAnsi="Times New Roman" w:cs="Times New Roman"/>
          <w:sz w:val="24"/>
          <w:szCs w:val="24"/>
        </w:rPr>
        <w:t>nin gerekliliği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 konusunda nasıl daha faydalı ol</w:t>
      </w:r>
      <w:r w:rsidR="005E4AFE">
        <w:rPr>
          <w:rFonts w:ascii="Times New Roman" w:hAnsi="Times New Roman" w:cs="Times New Roman"/>
          <w:sz w:val="24"/>
          <w:szCs w:val="24"/>
        </w:rPr>
        <w:t>una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bileceği sorusuna cevap aranmıştır. </w:t>
      </w:r>
    </w:p>
    <w:p w:rsidR="00416EAE" w:rsidRDefault="00416EA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AE">
        <w:rPr>
          <w:rFonts w:ascii="Times New Roman" w:hAnsi="Times New Roman" w:cs="Times New Roman"/>
          <w:b/>
          <w:sz w:val="24"/>
          <w:szCs w:val="24"/>
        </w:rPr>
        <w:t>Yöntem: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Gazi Üniversitesi Tıp Fakültesinde eğitim alan değişik sınıflardaki </w:t>
      </w:r>
      <w:r w:rsidR="004A5044">
        <w:rPr>
          <w:rFonts w:ascii="Times New Roman" w:hAnsi="Times New Roman" w:cs="Times New Roman"/>
          <w:sz w:val="24"/>
          <w:szCs w:val="24"/>
        </w:rPr>
        <w:t>toplam 943 öğrenciye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Radyolojik ve Klinik anatomi dersleri ile ilgili olarak </w:t>
      </w:r>
      <w:r w:rsidR="00D16659" w:rsidRPr="00F06A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’er</w:t>
      </w:r>
      <w:r w:rsidR="00D16659" w:rsidRPr="00F06A4F">
        <w:rPr>
          <w:rFonts w:ascii="Times New Roman" w:hAnsi="Times New Roman" w:cs="Times New Roman"/>
          <w:sz w:val="24"/>
          <w:szCs w:val="24"/>
        </w:rPr>
        <w:t xml:space="preserve"> sorudan oluşan anket yapılmıştır.</w:t>
      </w:r>
      <w:r w:rsidR="00C8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AE" w:rsidRDefault="00416EA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AE">
        <w:rPr>
          <w:rFonts w:ascii="Times New Roman" w:hAnsi="Times New Roman" w:cs="Times New Roman"/>
          <w:b/>
          <w:sz w:val="24"/>
          <w:szCs w:val="24"/>
        </w:rPr>
        <w:t>Bulgular: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7D">
        <w:rPr>
          <w:rFonts w:ascii="Times New Roman" w:hAnsi="Times New Roman" w:cs="Times New Roman"/>
          <w:sz w:val="24"/>
          <w:szCs w:val="24"/>
        </w:rPr>
        <w:t>Öğrenciler genelde anatomi eğitimi içerisinde radyolojik bi</w:t>
      </w:r>
      <w:r w:rsidR="003324E3">
        <w:rPr>
          <w:rFonts w:ascii="Times New Roman" w:hAnsi="Times New Roman" w:cs="Times New Roman"/>
          <w:sz w:val="24"/>
          <w:szCs w:val="24"/>
        </w:rPr>
        <w:t>lgilerin verilmesini isteyenlerin oranı 2. sınıfta %64.76 iken, bu oran 4. sınıfta %79.91, 5. Sınıfta %90.91 ve 6. sınıfta %95.08 saptanmıştır.  Klinik anatomik bilgiler için oranlar sırasıyla %88.85, %91.38, %97.47 ve %94.08 bulunmuştur. Öğrenciler b</w:t>
      </w:r>
      <w:r w:rsidR="00C83C7D">
        <w:rPr>
          <w:rFonts w:ascii="Times New Roman" w:hAnsi="Times New Roman" w:cs="Times New Roman"/>
          <w:sz w:val="24"/>
          <w:szCs w:val="24"/>
        </w:rPr>
        <w:t xml:space="preserve">u derslerin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arttırdığını ve anatomiyi daha iyi anlamalarına neden olduklarını ve hem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>
        <w:rPr>
          <w:rFonts w:ascii="Times New Roman" w:hAnsi="Times New Roman" w:cs="Times New Roman"/>
          <w:sz w:val="24"/>
          <w:szCs w:val="24"/>
        </w:rPr>
        <w:t>, hem de klinik sınıflarda bu derslerin faydalı olacağını belirt</w:t>
      </w:r>
      <w:r w:rsidR="00C83C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3C7D">
        <w:rPr>
          <w:rFonts w:ascii="Times New Roman" w:hAnsi="Times New Roman" w:cs="Times New Roman"/>
          <w:sz w:val="24"/>
          <w:szCs w:val="24"/>
        </w:rPr>
        <w:t>şl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3C7D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3C7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16659" w:rsidRDefault="00416EA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AE">
        <w:rPr>
          <w:rFonts w:ascii="Times New Roman" w:hAnsi="Times New Roman" w:cs="Times New Roman"/>
          <w:b/>
          <w:sz w:val="24"/>
          <w:szCs w:val="24"/>
        </w:rPr>
        <w:t>Sonuç: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7D">
        <w:rPr>
          <w:rFonts w:ascii="Times New Roman" w:hAnsi="Times New Roman" w:cs="Times New Roman"/>
          <w:sz w:val="24"/>
          <w:szCs w:val="24"/>
        </w:rPr>
        <w:t xml:space="preserve">Sınıf büyüdükçe, bir başka deyişle bilinç düzeyi arttıkça öğrencilerin anılan derslerin süresinin artmasını ve klinik dönemlerde de anlatılmasını istedikleri </w:t>
      </w:r>
      <w:r>
        <w:rPr>
          <w:rFonts w:ascii="Times New Roman" w:hAnsi="Times New Roman" w:cs="Times New Roman"/>
          <w:sz w:val="24"/>
          <w:szCs w:val="24"/>
        </w:rPr>
        <w:t>görülmüştür</w:t>
      </w:r>
      <w:r w:rsidR="00C83C7D">
        <w:rPr>
          <w:rFonts w:ascii="Times New Roman" w:hAnsi="Times New Roman" w:cs="Times New Roman"/>
          <w:sz w:val="24"/>
          <w:szCs w:val="24"/>
        </w:rPr>
        <w:t>.</w:t>
      </w:r>
    </w:p>
    <w:p w:rsidR="00E1116B" w:rsidRDefault="00E1116B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16B" w:rsidRDefault="00E1116B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16B">
        <w:rPr>
          <w:rFonts w:ascii="Times New Roman" w:hAnsi="Times New Roman" w:cs="Times New Roman"/>
          <w:b/>
          <w:sz w:val="24"/>
          <w:szCs w:val="24"/>
        </w:rPr>
        <w:t>Anahtar kelimeler:</w:t>
      </w:r>
      <w:r>
        <w:rPr>
          <w:rFonts w:ascii="Times New Roman" w:hAnsi="Times New Roman" w:cs="Times New Roman"/>
          <w:sz w:val="24"/>
          <w:szCs w:val="24"/>
        </w:rPr>
        <w:t xml:space="preserve"> Tıp eğitimi, öğrenci görüşleri, anket.</w:t>
      </w:r>
    </w:p>
    <w:p w:rsidR="001A1486" w:rsidRDefault="001A1486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86" w:rsidRDefault="001A1486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486">
        <w:rPr>
          <w:rFonts w:ascii="Times New Roman" w:hAnsi="Times New Roman" w:cs="Times New Roman"/>
          <w:b/>
          <w:sz w:val="24"/>
          <w:szCs w:val="24"/>
        </w:rPr>
        <w:t>ABSRACT</w:t>
      </w:r>
    </w:p>
    <w:p w:rsidR="00495407" w:rsidRDefault="002839E2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A1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relies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dissection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cadavers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>.</w:t>
      </w:r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initiatean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module</w:t>
      </w:r>
      <w:r w:rsidR="008F04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r w:rsidR="008F04C2" w:rsidRPr="008F04C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second-year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8F04C2" w:rsidRPr="008F04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study</w:t>
      </w:r>
      <w:proofErr w:type="spellEnd"/>
      <w:proofErr w:type="gram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</w:t>
      </w:r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delivering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an</w:t>
      </w:r>
      <w:r w:rsidR="008F04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undergraduates</w:t>
      </w:r>
      <w:proofErr w:type="spellEnd"/>
      <w:r w:rsid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perceptions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8F04C2" w:rsidRPr="008F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2" w:rsidRPr="008F04C2">
        <w:rPr>
          <w:rFonts w:ascii="Times New Roman" w:hAnsi="Times New Roman" w:cs="Times New Roman"/>
          <w:sz w:val="24"/>
          <w:szCs w:val="24"/>
        </w:rPr>
        <w:t>modality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9E2" w:rsidRDefault="002839E2" w:rsidP="00D6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839E2">
        <w:rPr>
          <w:rFonts w:ascii="Times New Roman" w:hAnsi="Times New Roman" w:cs="Times New Roman"/>
          <w:sz w:val="24"/>
          <w:szCs w:val="24"/>
        </w:rPr>
        <w:t>Questionnaires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E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8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E2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28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28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E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943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Gazi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4E3" w:rsidRDefault="003324E3" w:rsidP="00D6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E3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 w:rsidRPr="003324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radiologic</w:t>
      </w:r>
      <w:r w:rsidR="00BC7F9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w</w:t>
      </w:r>
      <w:r w:rsidR="00840CCF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64.76% in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40CCF">
        <w:rPr>
          <w:rFonts w:ascii="Times New Roman" w:hAnsi="Times New Roman" w:cs="Times New Roman"/>
          <w:sz w:val="24"/>
          <w:szCs w:val="24"/>
        </w:rPr>
        <w:t xml:space="preserve"> </w:t>
      </w:r>
      <w:r w:rsidR="00BC7F9F">
        <w:rPr>
          <w:rFonts w:ascii="Times New Roman" w:hAnsi="Times New Roman" w:cs="Times New Roman"/>
          <w:sz w:val="24"/>
          <w:szCs w:val="24"/>
        </w:rPr>
        <w:t xml:space="preserve">79.91% in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, 90.91% in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95.08</w:t>
      </w:r>
      <w:r w:rsidR="00840CCF" w:rsidRPr="00840CCF">
        <w:rPr>
          <w:rFonts w:ascii="Times New Roman" w:hAnsi="Times New Roman" w:cs="Times New Roman"/>
          <w:sz w:val="24"/>
          <w:szCs w:val="24"/>
        </w:rPr>
        <w:t xml:space="preserve">% </w:t>
      </w:r>
      <w:r w:rsidR="00BC7F9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88.85%, 91.38%, 97.47%,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94.08%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CF" w:rsidRPr="00840CCF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r w:rsidR="00840CCF" w:rsidRPr="00840CC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C7F9F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 w:rsidRPr="00840C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C7F9F" w:rsidRPr="0084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9F" w:rsidRPr="00840CCF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="00B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modalities</w:t>
      </w:r>
      <w:proofErr w:type="spellEnd"/>
      <w:r w:rsidR="00840CCF" w:rsidRPr="00840CCF">
        <w:rPr>
          <w:rFonts w:ascii="Times New Roman" w:hAnsi="Times New Roman" w:cs="Times New Roman"/>
          <w:sz w:val="24"/>
          <w:szCs w:val="24"/>
        </w:rPr>
        <w:t>.</w:t>
      </w:r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modalities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05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0A2105">
        <w:rPr>
          <w:rFonts w:ascii="Times New Roman" w:hAnsi="Times New Roman" w:cs="Times New Roman"/>
          <w:sz w:val="24"/>
          <w:szCs w:val="24"/>
        </w:rPr>
        <w:t>.</w:t>
      </w:r>
    </w:p>
    <w:p w:rsidR="00220E9F" w:rsidRDefault="000A2105" w:rsidP="00D6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0A2105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0A2105">
        <w:rPr>
          <w:rFonts w:ascii="Times New Roman" w:hAnsi="Times New Roman" w:cs="Times New Roman"/>
          <w:b/>
          <w:sz w:val="24"/>
          <w:szCs w:val="24"/>
        </w:rPr>
        <w:t>:</w:t>
      </w:r>
      <w:r w:rsidRPr="000A2105">
        <w:rPr>
          <w:rFonts w:ascii="AdvP46190F" w:hAnsi="AdvP46190F" w:cs="AdvP46190F"/>
          <w:color w:val="231F20"/>
          <w:sz w:val="18"/>
          <w:szCs w:val="18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results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study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suggest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longitudinal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integration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medical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imaging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into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anatomy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teaching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early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curriculum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may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improve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students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’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confidence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understanding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imaging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modalities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their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relevance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clinical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anatomy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20E9F">
        <w:rPr>
          <w:rFonts w:ascii="Times New Roman" w:hAnsi="Times New Roman" w:cs="Times New Roman"/>
          <w:color w:val="231F20"/>
          <w:sz w:val="24"/>
          <w:szCs w:val="24"/>
        </w:rPr>
        <w:t>These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20E9F">
        <w:rPr>
          <w:rFonts w:ascii="Times New Roman" w:hAnsi="Times New Roman" w:cs="Times New Roman"/>
          <w:color w:val="231F20"/>
          <w:sz w:val="24"/>
          <w:szCs w:val="24"/>
        </w:rPr>
        <w:t>modalities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A2105" w:rsidRPr="00220E9F" w:rsidRDefault="000A2105" w:rsidP="00D6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can</w:t>
      </w:r>
      <w:proofErr w:type="gram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20E9F">
        <w:rPr>
          <w:rFonts w:ascii="Times New Roman" w:hAnsi="Times New Roman" w:cs="Times New Roman"/>
          <w:color w:val="231F20"/>
          <w:sz w:val="24"/>
          <w:szCs w:val="24"/>
        </w:rPr>
        <w:t>also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benefit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students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by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increasing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their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motivation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engagement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attention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Pr="00220E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20E9F">
        <w:rPr>
          <w:rFonts w:ascii="Times New Roman" w:hAnsi="Times New Roman" w:cs="Times New Roman"/>
          <w:color w:val="231F20"/>
          <w:sz w:val="24"/>
          <w:szCs w:val="24"/>
        </w:rPr>
        <w:t>memory</w:t>
      </w:r>
      <w:proofErr w:type="spellEnd"/>
      <w:r w:rsidR="00220E9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839E2" w:rsidRDefault="002839E2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FF" w:rsidRDefault="00E1116B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16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1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16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11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16B" w:rsidRDefault="00D6375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677897" w:rsidRPr="00DF723B">
        <w:rPr>
          <w:rFonts w:ascii="Times New Roman" w:hAnsi="Times New Roman" w:cs="Times New Roman"/>
          <w:b/>
          <w:sz w:val="24"/>
          <w:szCs w:val="24"/>
        </w:rPr>
        <w:t>azışma adresi/</w:t>
      </w:r>
      <w:proofErr w:type="spellStart"/>
      <w:r w:rsidR="00677897" w:rsidRPr="00DF723B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="00677897" w:rsidRPr="00DF7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897" w:rsidRPr="00DF723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677897" w:rsidRPr="00DF7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897" w:rsidRPr="00DF723B">
        <w:rPr>
          <w:rFonts w:ascii="Times New Roman" w:hAnsi="Times New Roman" w:cs="Times New Roman"/>
          <w:b/>
          <w:sz w:val="24"/>
          <w:szCs w:val="24"/>
        </w:rPr>
        <w:t>correspondence</w:t>
      </w:r>
      <w:proofErr w:type="spellEnd"/>
      <w:r w:rsidR="00677897" w:rsidRPr="00DF723B">
        <w:rPr>
          <w:rFonts w:ascii="Times New Roman" w:hAnsi="Times New Roman" w:cs="Times New Roman"/>
          <w:b/>
          <w:sz w:val="24"/>
          <w:szCs w:val="24"/>
        </w:rPr>
        <w:t>:</w:t>
      </w:r>
      <w:r w:rsidR="00677897">
        <w:rPr>
          <w:rFonts w:ascii="Times New Roman" w:hAnsi="Times New Roman" w:cs="Times New Roman"/>
          <w:sz w:val="24"/>
          <w:szCs w:val="24"/>
        </w:rPr>
        <w:t xml:space="preserve"> İ. Nadir </w:t>
      </w:r>
      <w:proofErr w:type="spellStart"/>
      <w:r w:rsidR="00677897">
        <w:rPr>
          <w:rFonts w:ascii="Times New Roman" w:hAnsi="Times New Roman" w:cs="Times New Roman"/>
          <w:sz w:val="24"/>
          <w:szCs w:val="24"/>
        </w:rPr>
        <w:t>Gülekon</w:t>
      </w:r>
      <w:proofErr w:type="spellEnd"/>
      <w:r w:rsidR="00677897">
        <w:rPr>
          <w:rFonts w:ascii="Times New Roman" w:hAnsi="Times New Roman" w:cs="Times New Roman"/>
          <w:sz w:val="24"/>
          <w:szCs w:val="24"/>
        </w:rPr>
        <w:t xml:space="preserve">, Gazi Üniversitesi Tıp Fakültesi Anatomi AD, Dekanlık Binası 3. Kat, </w:t>
      </w:r>
      <w:proofErr w:type="spellStart"/>
      <w:r w:rsidR="00677897">
        <w:rPr>
          <w:rFonts w:ascii="Times New Roman" w:hAnsi="Times New Roman" w:cs="Times New Roman"/>
          <w:sz w:val="24"/>
          <w:szCs w:val="24"/>
        </w:rPr>
        <w:t>Beşevler</w:t>
      </w:r>
      <w:proofErr w:type="spellEnd"/>
      <w:r w:rsidR="00677897">
        <w:rPr>
          <w:rFonts w:ascii="Times New Roman" w:hAnsi="Times New Roman" w:cs="Times New Roman"/>
          <w:sz w:val="24"/>
          <w:szCs w:val="24"/>
        </w:rPr>
        <w:t>, Ankara</w:t>
      </w:r>
    </w:p>
    <w:p w:rsidR="00677897" w:rsidRPr="00677897" w:rsidRDefault="00677897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3B">
        <w:rPr>
          <w:rFonts w:ascii="Times New Roman" w:hAnsi="Times New Roman" w:cs="Times New Roman"/>
          <w:b/>
          <w:sz w:val="24"/>
          <w:szCs w:val="24"/>
        </w:rPr>
        <w:t>E-posta/e-mail: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A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7AEE">
        <w:rPr>
          <w:rFonts w:ascii="Times New Roman" w:hAnsi="Times New Roman" w:cs="Times New Roman"/>
          <w:sz w:val="24"/>
          <w:szCs w:val="24"/>
        </w:rPr>
        <w:t>adir</w:t>
      </w:r>
      <w:r>
        <w:rPr>
          <w:rFonts w:ascii="Times New Roman" w:hAnsi="Times New Roman" w:cs="Times New Roman"/>
          <w:sz w:val="24"/>
          <w:szCs w:val="24"/>
        </w:rPr>
        <w:t>@gazi.edu.tr</w:t>
      </w:r>
    </w:p>
    <w:p w:rsidR="00495407" w:rsidRDefault="00495407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Giriş</w:t>
      </w:r>
    </w:p>
    <w:p w:rsidR="00495407" w:rsidRPr="00D769C8" w:rsidRDefault="00495407" w:rsidP="00D6375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95407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9540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süresi 6 yıl olan Tıp </w:t>
      </w:r>
      <w:r w:rsidRPr="00495407">
        <w:rPr>
          <w:rFonts w:ascii="Times New Roman" w:hAnsi="Times New Roman" w:cs="Times New Roman"/>
          <w:sz w:val="24"/>
          <w:szCs w:val="24"/>
        </w:rPr>
        <w:t>eğit</w:t>
      </w:r>
      <w:r>
        <w:rPr>
          <w:rFonts w:ascii="Times New Roman" w:hAnsi="Times New Roman" w:cs="Times New Roman"/>
          <w:sz w:val="24"/>
          <w:szCs w:val="24"/>
        </w:rPr>
        <w:t xml:space="preserve">imi </w:t>
      </w:r>
      <w:proofErr w:type="spellStart"/>
      <w:r w:rsidR="00623732">
        <w:rPr>
          <w:rFonts w:ascii="Times New Roman" w:hAnsi="Times New Roman" w:cs="Times New Roman"/>
          <w:sz w:val="24"/>
          <w:szCs w:val="24"/>
        </w:rPr>
        <w:t>p</w:t>
      </w:r>
      <w:r w:rsidR="00B70483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>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6237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linik eğitim dönem</w:t>
      </w:r>
      <w:r w:rsidR="00B70483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3732" w:rsidRPr="00623732">
        <w:rPr>
          <w:rFonts w:ascii="Times New Roman" w:hAnsi="Times New Roman" w:cs="Times New Roman"/>
          <w:sz w:val="24"/>
          <w:szCs w:val="24"/>
        </w:rPr>
        <w:t xml:space="preserve"> </w:t>
      </w:r>
      <w:r w:rsidR="00623732">
        <w:rPr>
          <w:rFonts w:ascii="Times New Roman" w:hAnsi="Times New Roman" w:cs="Times New Roman"/>
          <w:sz w:val="24"/>
          <w:szCs w:val="24"/>
        </w:rPr>
        <w:t>olmak üzere iki bölümde incelenebilir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83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="00B70483">
        <w:rPr>
          <w:rFonts w:ascii="Times New Roman" w:hAnsi="Times New Roman" w:cs="Times New Roman"/>
          <w:sz w:val="24"/>
          <w:szCs w:val="24"/>
        </w:rPr>
        <w:t xml:space="preserve"> dönem </w:t>
      </w:r>
      <w:r w:rsidR="00592E90">
        <w:rPr>
          <w:rFonts w:ascii="Times New Roman" w:hAnsi="Times New Roman" w:cs="Times New Roman"/>
          <w:sz w:val="24"/>
          <w:szCs w:val="24"/>
        </w:rPr>
        <w:t xml:space="preserve">eğitimin </w:t>
      </w:r>
      <w:r w:rsidR="00B70483">
        <w:rPr>
          <w:rFonts w:ascii="Times New Roman" w:hAnsi="Times New Roman" w:cs="Times New Roman"/>
          <w:sz w:val="24"/>
          <w:szCs w:val="24"/>
        </w:rPr>
        <w:t>ilk 3 yılı</w:t>
      </w:r>
      <w:r w:rsidR="00592E90">
        <w:rPr>
          <w:rFonts w:ascii="Times New Roman" w:hAnsi="Times New Roman" w:cs="Times New Roman"/>
          <w:sz w:val="24"/>
          <w:szCs w:val="24"/>
        </w:rPr>
        <w:t>nı</w:t>
      </w:r>
      <w:r w:rsidR="00B70483">
        <w:rPr>
          <w:rFonts w:ascii="Times New Roman" w:hAnsi="Times New Roman" w:cs="Times New Roman"/>
          <w:sz w:val="24"/>
          <w:szCs w:val="24"/>
        </w:rPr>
        <w:t xml:space="preserve">, klinik dönem ise son 3 yılı kapsamaktadır. </w:t>
      </w:r>
      <w:proofErr w:type="spellStart"/>
      <w:r w:rsidR="00592E90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="00592E90">
        <w:rPr>
          <w:rFonts w:ascii="Times New Roman" w:hAnsi="Times New Roman" w:cs="Times New Roman"/>
          <w:sz w:val="24"/>
          <w:szCs w:val="24"/>
        </w:rPr>
        <w:t xml:space="preserve"> dönemde tıbbın temel taşı </w:t>
      </w:r>
      <w:proofErr w:type="spellStart"/>
      <w:r w:rsidR="00DB614D">
        <w:rPr>
          <w:rFonts w:ascii="Times New Roman" w:hAnsi="Times New Roman" w:cs="Times New Roman"/>
          <w:sz w:val="24"/>
          <w:szCs w:val="24"/>
        </w:rPr>
        <w:t>a</w:t>
      </w:r>
      <w:r w:rsidR="00592E90">
        <w:rPr>
          <w:rFonts w:ascii="Times New Roman" w:hAnsi="Times New Roman" w:cs="Times New Roman"/>
          <w:sz w:val="24"/>
          <w:szCs w:val="24"/>
        </w:rPr>
        <w:t>natomi’dir</w:t>
      </w:r>
      <w:proofErr w:type="spellEnd"/>
      <w:r w:rsidR="00592E90">
        <w:rPr>
          <w:rFonts w:ascii="Times New Roman" w:hAnsi="Times New Roman" w:cs="Times New Roman"/>
          <w:sz w:val="24"/>
          <w:szCs w:val="24"/>
        </w:rPr>
        <w:t xml:space="preserve">. Klinik problemlerin ve tanısal görüntüleme yöntemlerinin anlaşılabilmesi </w:t>
      </w:r>
      <w:r w:rsidR="00AB3C1A">
        <w:rPr>
          <w:rFonts w:ascii="Times New Roman" w:hAnsi="Times New Roman" w:cs="Times New Roman"/>
          <w:sz w:val="24"/>
          <w:szCs w:val="24"/>
        </w:rPr>
        <w:t xml:space="preserve">ve çözümlenebilmesi </w:t>
      </w:r>
      <w:r w:rsidR="00592E90">
        <w:rPr>
          <w:rFonts w:ascii="Times New Roman" w:hAnsi="Times New Roman" w:cs="Times New Roman"/>
          <w:sz w:val="24"/>
          <w:szCs w:val="24"/>
        </w:rPr>
        <w:t>için iyi bir anatomi eğitimi gereklidir</w:t>
      </w:r>
      <w:r w:rsidR="00FD4F1E">
        <w:rPr>
          <w:rFonts w:ascii="Times New Roman" w:hAnsi="Times New Roman" w:cs="Times New Roman"/>
          <w:sz w:val="24"/>
          <w:szCs w:val="24"/>
        </w:rPr>
        <w:t xml:space="preserve"> </w:t>
      </w:r>
      <w:r w:rsidR="00D9053D" w:rsidRPr="00D9053D">
        <w:rPr>
          <w:rFonts w:ascii="Times New Roman" w:hAnsi="Times New Roman" w:cs="Times New Roman"/>
          <w:sz w:val="24"/>
          <w:szCs w:val="24"/>
        </w:rPr>
        <w:t>(</w:t>
      </w:r>
      <w:r w:rsidR="00D9053D">
        <w:rPr>
          <w:rFonts w:ascii="Times New Roman" w:hAnsi="Times New Roman" w:cs="Times New Roman"/>
          <w:sz w:val="24"/>
          <w:szCs w:val="24"/>
        </w:rPr>
        <w:t>1)</w:t>
      </w:r>
      <w:r w:rsidR="00592E90">
        <w:rPr>
          <w:rFonts w:ascii="Times New Roman" w:hAnsi="Times New Roman" w:cs="Times New Roman"/>
          <w:sz w:val="24"/>
          <w:szCs w:val="24"/>
        </w:rPr>
        <w:t>.</w:t>
      </w:r>
      <w:r w:rsidR="00AB3C1A">
        <w:rPr>
          <w:rFonts w:ascii="Times New Roman" w:hAnsi="Times New Roman" w:cs="Times New Roman"/>
          <w:sz w:val="24"/>
          <w:szCs w:val="24"/>
        </w:rPr>
        <w:t xml:space="preserve"> A</w:t>
      </w:r>
      <w:r w:rsidR="00AB3C1A" w:rsidRPr="00AB3C1A">
        <w:rPr>
          <w:rFonts w:ascii="Times New Roman" w:hAnsi="Times New Roman" w:cs="Times New Roman"/>
          <w:sz w:val="24"/>
          <w:szCs w:val="24"/>
        </w:rPr>
        <w:t xml:space="preserve">natomi, insan vücudunun normal yapısını, şeklini, bu yapıyı oluşturan organları ve organların birbiri ile olan ilişkilerini inceleyen </w:t>
      </w:r>
      <w:r w:rsidR="00DB614D" w:rsidRPr="00AB3C1A">
        <w:rPr>
          <w:rFonts w:ascii="Times New Roman" w:hAnsi="Times New Roman" w:cs="Times New Roman"/>
          <w:sz w:val="24"/>
          <w:szCs w:val="24"/>
        </w:rPr>
        <w:t>görsel bir bilim dalı olarak tıp fakültelerinin temel tıp bilimleri eğitim öğretim programları içerisinde oldukça önemli bir yer teşkil etmektedir</w:t>
      </w:r>
      <w:r w:rsidR="00DB614D">
        <w:rPr>
          <w:rFonts w:ascii="Times New Roman" w:hAnsi="Times New Roman" w:cs="Times New Roman"/>
          <w:sz w:val="24"/>
          <w:szCs w:val="24"/>
        </w:rPr>
        <w:t xml:space="preserve"> </w:t>
      </w:r>
      <w:r w:rsidR="00D9053D">
        <w:rPr>
          <w:rFonts w:ascii="Times New Roman" w:hAnsi="Times New Roman" w:cs="Times New Roman"/>
          <w:sz w:val="24"/>
          <w:szCs w:val="24"/>
        </w:rPr>
        <w:t>(2)</w:t>
      </w:r>
      <w:r w:rsidR="00AB3C1A" w:rsidRPr="00AB3C1A">
        <w:rPr>
          <w:rFonts w:ascii="Times New Roman" w:hAnsi="Times New Roman" w:cs="Times New Roman"/>
          <w:sz w:val="24"/>
          <w:szCs w:val="24"/>
        </w:rPr>
        <w:t>.</w:t>
      </w:r>
      <w:r w:rsidR="00AB3C1A" w:rsidRPr="00AB3C1A">
        <w:rPr>
          <w:sz w:val="20"/>
          <w:szCs w:val="20"/>
        </w:rPr>
        <w:t xml:space="preserve"> </w:t>
      </w:r>
      <w:r w:rsidR="0089384A">
        <w:rPr>
          <w:rFonts w:ascii="Times New Roman" w:hAnsi="Times New Roman" w:cs="Times New Roman"/>
          <w:sz w:val="24"/>
          <w:szCs w:val="24"/>
        </w:rPr>
        <w:t xml:space="preserve">Son yıllarda </w:t>
      </w:r>
      <w:r w:rsidR="00DB614D">
        <w:rPr>
          <w:rFonts w:ascii="Times New Roman" w:hAnsi="Times New Roman" w:cs="Times New Roman"/>
          <w:sz w:val="24"/>
          <w:szCs w:val="24"/>
        </w:rPr>
        <w:t>a</w:t>
      </w:r>
      <w:r w:rsidR="0089384A">
        <w:rPr>
          <w:rFonts w:ascii="Times New Roman" w:hAnsi="Times New Roman" w:cs="Times New Roman"/>
          <w:sz w:val="24"/>
          <w:szCs w:val="24"/>
        </w:rPr>
        <w:t xml:space="preserve">natomi eğitiminin klinik bilgiler ve radyolojik görüntüler ile harmanlanması, öğrencilerin anatomiye daha iyi anlamalarını </w:t>
      </w:r>
      <w:r w:rsidR="00DB614D">
        <w:rPr>
          <w:rFonts w:ascii="Times New Roman" w:hAnsi="Times New Roman" w:cs="Times New Roman"/>
          <w:sz w:val="24"/>
          <w:szCs w:val="24"/>
        </w:rPr>
        <w:t xml:space="preserve">sağlamakta </w:t>
      </w:r>
      <w:r w:rsidR="0089384A">
        <w:rPr>
          <w:rFonts w:ascii="Times New Roman" w:hAnsi="Times New Roman" w:cs="Times New Roman"/>
          <w:sz w:val="24"/>
          <w:szCs w:val="24"/>
        </w:rPr>
        <w:t>ve gelecekte nelerle karşılaşabilecekleri konusunda fikir vermesi nedeniyle giderek önem kazanmaktadır</w:t>
      </w:r>
      <w:r w:rsidR="00FD4F1E">
        <w:rPr>
          <w:rFonts w:ascii="Times New Roman" w:hAnsi="Times New Roman" w:cs="Times New Roman"/>
          <w:sz w:val="24"/>
          <w:szCs w:val="24"/>
        </w:rPr>
        <w:t xml:space="preserve"> </w:t>
      </w:r>
      <w:r w:rsidR="00D9053D">
        <w:rPr>
          <w:rFonts w:ascii="Times New Roman" w:hAnsi="Times New Roman" w:cs="Times New Roman"/>
          <w:sz w:val="24"/>
          <w:szCs w:val="24"/>
        </w:rPr>
        <w:t>(3)</w:t>
      </w:r>
      <w:r w:rsidR="00AB3C1A" w:rsidRPr="00AB3C1A">
        <w:rPr>
          <w:rFonts w:ascii="Times New Roman" w:hAnsi="Times New Roman" w:cs="Times New Roman"/>
          <w:sz w:val="24"/>
          <w:szCs w:val="24"/>
        </w:rPr>
        <w:t>.</w:t>
      </w:r>
      <w:r w:rsidR="0089384A">
        <w:rPr>
          <w:rFonts w:ascii="Times New Roman" w:hAnsi="Times New Roman" w:cs="Times New Roman"/>
          <w:sz w:val="24"/>
          <w:szCs w:val="24"/>
        </w:rPr>
        <w:t xml:space="preserve"> </w:t>
      </w:r>
      <w:r w:rsidR="00525A65">
        <w:rPr>
          <w:rFonts w:ascii="Times New Roman" w:hAnsi="Times New Roman" w:cs="Times New Roman"/>
          <w:sz w:val="24"/>
          <w:szCs w:val="24"/>
        </w:rPr>
        <w:t>Yıllardır tıp eğitiminde radyolojik ve klinik anatomi derslerinin önemi ve bu derslerin verilmesi gerekiyorsa, hangi dönemlerde verilmesinin daha uygun olacağı tartışılmaktadır</w:t>
      </w:r>
      <w:r w:rsidR="00FD4F1E">
        <w:rPr>
          <w:rFonts w:ascii="Times New Roman" w:hAnsi="Times New Roman" w:cs="Times New Roman"/>
          <w:sz w:val="24"/>
          <w:szCs w:val="24"/>
        </w:rPr>
        <w:t xml:space="preserve"> </w:t>
      </w:r>
      <w:r w:rsidR="00D9053D">
        <w:rPr>
          <w:rFonts w:ascii="Times New Roman" w:hAnsi="Times New Roman" w:cs="Times New Roman"/>
          <w:sz w:val="24"/>
          <w:szCs w:val="24"/>
        </w:rPr>
        <w:t>(4-1</w:t>
      </w:r>
      <w:r w:rsidR="007C1FAE">
        <w:rPr>
          <w:rFonts w:ascii="Times New Roman" w:hAnsi="Times New Roman" w:cs="Times New Roman"/>
          <w:sz w:val="24"/>
          <w:szCs w:val="24"/>
        </w:rPr>
        <w:t>2</w:t>
      </w:r>
      <w:r w:rsidR="00D9053D">
        <w:rPr>
          <w:rFonts w:ascii="Times New Roman" w:hAnsi="Times New Roman" w:cs="Times New Roman"/>
          <w:sz w:val="24"/>
          <w:szCs w:val="24"/>
        </w:rPr>
        <w:t>)</w:t>
      </w:r>
      <w:r w:rsidR="00525A65">
        <w:rPr>
          <w:rFonts w:ascii="Times New Roman" w:hAnsi="Times New Roman" w:cs="Times New Roman"/>
          <w:sz w:val="24"/>
          <w:szCs w:val="24"/>
        </w:rPr>
        <w:t xml:space="preserve">. </w:t>
      </w:r>
      <w:r w:rsidR="0089384A">
        <w:rPr>
          <w:rFonts w:ascii="Times New Roman" w:hAnsi="Times New Roman" w:cs="Times New Roman"/>
          <w:sz w:val="24"/>
          <w:szCs w:val="24"/>
        </w:rPr>
        <w:t xml:space="preserve">Bu </w:t>
      </w:r>
      <w:r w:rsidR="00DB614D">
        <w:rPr>
          <w:rFonts w:ascii="Times New Roman" w:hAnsi="Times New Roman" w:cs="Times New Roman"/>
          <w:sz w:val="24"/>
          <w:szCs w:val="24"/>
        </w:rPr>
        <w:t>görüşten yola çıkılarak,</w:t>
      </w:r>
      <w:r w:rsidR="0089384A">
        <w:rPr>
          <w:rFonts w:ascii="Times New Roman" w:hAnsi="Times New Roman" w:cs="Times New Roman"/>
          <w:sz w:val="24"/>
          <w:szCs w:val="24"/>
        </w:rPr>
        <w:t xml:space="preserve"> Gazi Üniversitesi Tıp Fakültesinde hem derslerin daha verimli geçmesi, hem de öğrencilerin klinik döneme uyum sağlayabilmeleri açısından </w:t>
      </w:r>
      <w:r w:rsidR="0089384A" w:rsidRPr="00F06A4F">
        <w:rPr>
          <w:rFonts w:ascii="Times New Roman" w:hAnsi="Times New Roman" w:cs="Times New Roman"/>
          <w:sz w:val="24"/>
          <w:szCs w:val="24"/>
        </w:rPr>
        <w:t>2000 yılından beri</w:t>
      </w:r>
      <w:r w:rsidR="0089384A">
        <w:rPr>
          <w:rFonts w:ascii="Times New Roman" w:hAnsi="Times New Roman" w:cs="Times New Roman"/>
          <w:sz w:val="24"/>
          <w:szCs w:val="24"/>
        </w:rPr>
        <w:t xml:space="preserve"> </w:t>
      </w:r>
      <w:r w:rsidR="0089384A" w:rsidRPr="00F06A4F">
        <w:rPr>
          <w:rFonts w:ascii="Times New Roman" w:hAnsi="Times New Roman" w:cs="Times New Roman"/>
          <w:sz w:val="24"/>
          <w:szCs w:val="24"/>
        </w:rPr>
        <w:t xml:space="preserve">1. ve 2. </w:t>
      </w:r>
      <w:r w:rsidR="002A481B">
        <w:rPr>
          <w:rFonts w:ascii="Times New Roman" w:hAnsi="Times New Roman" w:cs="Times New Roman"/>
          <w:sz w:val="24"/>
          <w:szCs w:val="24"/>
        </w:rPr>
        <w:t>s</w:t>
      </w:r>
      <w:r w:rsidR="0089384A" w:rsidRPr="00F06A4F">
        <w:rPr>
          <w:rFonts w:ascii="Times New Roman" w:hAnsi="Times New Roman" w:cs="Times New Roman"/>
          <w:sz w:val="24"/>
          <w:szCs w:val="24"/>
        </w:rPr>
        <w:t>ınıflarda</w:t>
      </w:r>
      <w:r w:rsidR="0089384A">
        <w:rPr>
          <w:rFonts w:ascii="Times New Roman" w:hAnsi="Times New Roman" w:cs="Times New Roman"/>
          <w:sz w:val="24"/>
          <w:szCs w:val="24"/>
        </w:rPr>
        <w:t xml:space="preserve"> </w:t>
      </w:r>
      <w:r w:rsidR="00DB614D">
        <w:rPr>
          <w:rFonts w:ascii="Times New Roman" w:hAnsi="Times New Roman" w:cs="Times New Roman"/>
          <w:sz w:val="24"/>
          <w:szCs w:val="24"/>
        </w:rPr>
        <w:t>anatomi eğitim programı içerisinde k</w:t>
      </w:r>
      <w:r w:rsidR="0089384A" w:rsidRPr="00F06A4F">
        <w:rPr>
          <w:rFonts w:ascii="Times New Roman" w:hAnsi="Times New Roman" w:cs="Times New Roman"/>
          <w:sz w:val="24"/>
          <w:szCs w:val="24"/>
        </w:rPr>
        <w:t xml:space="preserve">linik ve </w:t>
      </w:r>
      <w:r w:rsidR="00DB614D">
        <w:rPr>
          <w:rFonts w:ascii="Times New Roman" w:hAnsi="Times New Roman" w:cs="Times New Roman"/>
          <w:sz w:val="24"/>
          <w:szCs w:val="24"/>
        </w:rPr>
        <w:t>r</w:t>
      </w:r>
      <w:r w:rsidR="0089384A" w:rsidRPr="00F06A4F">
        <w:rPr>
          <w:rFonts w:ascii="Times New Roman" w:hAnsi="Times New Roman" w:cs="Times New Roman"/>
          <w:sz w:val="24"/>
          <w:szCs w:val="24"/>
        </w:rPr>
        <w:t xml:space="preserve">adyolojik </w:t>
      </w:r>
      <w:r w:rsidR="00DB614D">
        <w:rPr>
          <w:rFonts w:ascii="Times New Roman" w:hAnsi="Times New Roman" w:cs="Times New Roman"/>
          <w:sz w:val="24"/>
          <w:szCs w:val="24"/>
        </w:rPr>
        <w:t>a</w:t>
      </w:r>
      <w:r w:rsidR="0089384A" w:rsidRPr="00F06A4F">
        <w:rPr>
          <w:rFonts w:ascii="Times New Roman" w:hAnsi="Times New Roman" w:cs="Times New Roman"/>
          <w:sz w:val="24"/>
          <w:szCs w:val="24"/>
        </w:rPr>
        <w:t>natomi</w:t>
      </w:r>
      <w:r w:rsidR="0089384A">
        <w:rPr>
          <w:rFonts w:ascii="Times New Roman" w:hAnsi="Times New Roman" w:cs="Times New Roman"/>
          <w:sz w:val="24"/>
          <w:szCs w:val="24"/>
        </w:rPr>
        <w:t xml:space="preserve"> </w:t>
      </w:r>
      <w:r w:rsidR="00DB614D">
        <w:rPr>
          <w:rFonts w:ascii="Times New Roman" w:hAnsi="Times New Roman" w:cs="Times New Roman"/>
          <w:sz w:val="24"/>
          <w:szCs w:val="24"/>
        </w:rPr>
        <w:t>bilgileri</w:t>
      </w:r>
      <w:r w:rsidR="0089384A">
        <w:rPr>
          <w:rFonts w:ascii="Times New Roman" w:hAnsi="Times New Roman" w:cs="Times New Roman"/>
          <w:sz w:val="24"/>
          <w:szCs w:val="24"/>
        </w:rPr>
        <w:t xml:space="preserve"> verilmektedir. Bu çalışmada Tıp Fakültesinin değişik sınıflarında eğitim gören öğrencilerin </w:t>
      </w:r>
      <w:r w:rsidR="00D769C8" w:rsidRPr="00D769C8">
        <w:rPr>
          <w:rFonts w:ascii="Times New Roman" w:hAnsi="Times New Roman" w:cs="Times New Roman"/>
          <w:sz w:val="24"/>
          <w:szCs w:val="20"/>
        </w:rPr>
        <w:t xml:space="preserve">anatomi eğitiminin mevcut durumu hakkındaki </w:t>
      </w:r>
      <w:r w:rsidR="00D769C8">
        <w:rPr>
          <w:rFonts w:ascii="Times New Roman" w:hAnsi="Times New Roman" w:cs="Times New Roman"/>
          <w:sz w:val="24"/>
          <w:szCs w:val="20"/>
        </w:rPr>
        <w:t>görüşleri</w:t>
      </w:r>
      <w:r w:rsidR="00D769C8" w:rsidRPr="00D769C8">
        <w:rPr>
          <w:rFonts w:ascii="Times New Roman" w:hAnsi="Times New Roman" w:cs="Times New Roman"/>
          <w:sz w:val="24"/>
          <w:szCs w:val="20"/>
        </w:rPr>
        <w:t xml:space="preserve"> yapılan anket yardım</w:t>
      </w:r>
      <w:r w:rsidR="00DB614D">
        <w:rPr>
          <w:rFonts w:ascii="Times New Roman" w:hAnsi="Times New Roman" w:cs="Times New Roman"/>
          <w:sz w:val="24"/>
          <w:szCs w:val="20"/>
        </w:rPr>
        <w:t>ıyla değerlendirilmesi amaçlanmıştır</w:t>
      </w:r>
      <w:r w:rsidR="00D769C8" w:rsidRPr="00D769C8">
        <w:rPr>
          <w:rFonts w:ascii="Times New Roman" w:hAnsi="Times New Roman" w:cs="Times New Roman"/>
          <w:sz w:val="24"/>
          <w:szCs w:val="20"/>
        </w:rPr>
        <w:t>.</w:t>
      </w:r>
    </w:p>
    <w:p w:rsidR="00B81399" w:rsidRDefault="00B81399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659" w:rsidRPr="00F06A4F" w:rsidRDefault="001355F4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Gereç ve Yöntem</w:t>
      </w:r>
    </w:p>
    <w:p w:rsidR="00D16659" w:rsidRDefault="00D16659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Gazi Üniversitesi Tıp Fakültesi anlatılmakta olan Klinik ve Radyolojik Anatomi dersleri hakkında 2015-2016 eğitim-öğretim yılında her konu için dört sorudan oluşan anket uygulanmıştır. Klinik ve Radyolojik Anatomi konuları 2</w:t>
      </w:r>
      <w:proofErr w:type="gramStart"/>
      <w:r w:rsidRPr="00F06A4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6A4F">
        <w:rPr>
          <w:rFonts w:ascii="Times New Roman" w:hAnsi="Times New Roman" w:cs="Times New Roman"/>
          <w:sz w:val="24"/>
          <w:szCs w:val="24"/>
        </w:rPr>
        <w:t xml:space="preserve"> 4., 5. </w:t>
      </w:r>
      <w:r w:rsidR="00B956A1" w:rsidRPr="00F06A4F">
        <w:rPr>
          <w:rFonts w:ascii="Times New Roman" w:hAnsi="Times New Roman" w:cs="Times New Roman"/>
          <w:sz w:val="24"/>
          <w:szCs w:val="24"/>
        </w:rPr>
        <w:t>v</w:t>
      </w:r>
      <w:r w:rsidRPr="00F06A4F">
        <w:rPr>
          <w:rFonts w:ascii="Times New Roman" w:hAnsi="Times New Roman" w:cs="Times New Roman"/>
          <w:sz w:val="24"/>
          <w:szCs w:val="24"/>
        </w:rPr>
        <w:t xml:space="preserve">e 6. </w:t>
      </w:r>
      <w:r w:rsidR="006F4841">
        <w:rPr>
          <w:rFonts w:ascii="Times New Roman" w:hAnsi="Times New Roman" w:cs="Times New Roman"/>
          <w:sz w:val="24"/>
          <w:szCs w:val="24"/>
        </w:rPr>
        <w:t>s</w:t>
      </w:r>
      <w:r w:rsidRPr="00F06A4F">
        <w:rPr>
          <w:rFonts w:ascii="Times New Roman" w:hAnsi="Times New Roman" w:cs="Times New Roman"/>
          <w:sz w:val="24"/>
          <w:szCs w:val="24"/>
        </w:rPr>
        <w:t>ınıflarda</w:t>
      </w:r>
      <w:r w:rsidR="00B956A1" w:rsidRPr="00F06A4F">
        <w:rPr>
          <w:rFonts w:ascii="Times New Roman" w:hAnsi="Times New Roman" w:cs="Times New Roman"/>
          <w:sz w:val="24"/>
          <w:szCs w:val="24"/>
        </w:rPr>
        <w:t xml:space="preserve"> okuyan öğrencilere</w:t>
      </w:r>
      <w:r w:rsidR="00F11A28" w:rsidRPr="00F06A4F">
        <w:rPr>
          <w:rFonts w:ascii="Times New Roman" w:hAnsi="Times New Roman" w:cs="Times New Roman"/>
          <w:sz w:val="24"/>
          <w:szCs w:val="24"/>
        </w:rPr>
        <w:t xml:space="preserve"> uygulanmıştır. </w:t>
      </w:r>
      <w:r w:rsidR="007570C9">
        <w:rPr>
          <w:rFonts w:ascii="Times New Roman" w:hAnsi="Times New Roman" w:cs="Times New Roman"/>
          <w:sz w:val="24"/>
          <w:szCs w:val="24"/>
        </w:rPr>
        <w:t>Bu uygulama için Tıp Fakültesi dekan</w:t>
      </w:r>
      <w:r w:rsidR="00442D73">
        <w:rPr>
          <w:rFonts w:ascii="Times New Roman" w:hAnsi="Times New Roman" w:cs="Times New Roman"/>
          <w:sz w:val="24"/>
          <w:szCs w:val="24"/>
        </w:rPr>
        <w:t xml:space="preserve">lığından ve </w:t>
      </w:r>
      <w:proofErr w:type="spellStart"/>
      <w:r w:rsidR="00442D73">
        <w:rPr>
          <w:rFonts w:ascii="Times New Roman" w:hAnsi="Times New Roman" w:cs="Times New Roman"/>
          <w:sz w:val="24"/>
          <w:szCs w:val="24"/>
        </w:rPr>
        <w:t>başkoordinatörlüğünden</w:t>
      </w:r>
      <w:proofErr w:type="spellEnd"/>
      <w:r w:rsidR="007570C9">
        <w:rPr>
          <w:rFonts w:ascii="Times New Roman" w:hAnsi="Times New Roman" w:cs="Times New Roman"/>
          <w:sz w:val="24"/>
          <w:szCs w:val="24"/>
        </w:rPr>
        <w:t xml:space="preserve"> izin alınmıştır. </w:t>
      </w:r>
      <w:r w:rsidR="001B5610">
        <w:rPr>
          <w:rFonts w:ascii="Times New Roman" w:hAnsi="Times New Roman" w:cs="Times New Roman"/>
          <w:sz w:val="24"/>
          <w:szCs w:val="24"/>
        </w:rPr>
        <w:t>Anket uygulaması bir hafta içerisinde tamamlanmıştır. Anketin yapıldığı dönemde</w:t>
      </w:r>
      <w:r w:rsidR="001B5610"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F11A28" w:rsidRPr="00F06A4F">
        <w:rPr>
          <w:rFonts w:ascii="Times New Roman" w:hAnsi="Times New Roman" w:cs="Times New Roman"/>
          <w:sz w:val="24"/>
          <w:szCs w:val="24"/>
        </w:rPr>
        <w:t>1. sınıf öğrencileri henüz Anatomi dersi almadıkları için</w:t>
      </w:r>
      <w:r w:rsidR="00102C25" w:rsidRPr="00F06A4F">
        <w:rPr>
          <w:rFonts w:ascii="Times New Roman" w:hAnsi="Times New Roman" w:cs="Times New Roman"/>
          <w:sz w:val="24"/>
          <w:szCs w:val="24"/>
        </w:rPr>
        <w:t>,</w:t>
      </w:r>
      <w:r w:rsidR="00B956A1"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F11A28" w:rsidRPr="00F06A4F">
        <w:rPr>
          <w:rFonts w:ascii="Times New Roman" w:hAnsi="Times New Roman" w:cs="Times New Roman"/>
          <w:sz w:val="24"/>
          <w:szCs w:val="24"/>
        </w:rPr>
        <w:t xml:space="preserve">3. sınıf öğrencileri ise </w:t>
      </w:r>
      <w:r w:rsidR="009A2490">
        <w:rPr>
          <w:rFonts w:ascii="Times New Roman" w:hAnsi="Times New Roman" w:cs="Times New Roman"/>
          <w:sz w:val="24"/>
          <w:szCs w:val="24"/>
        </w:rPr>
        <w:t xml:space="preserve">ders kurulu sınavları </w:t>
      </w:r>
      <w:r w:rsidR="00102C25" w:rsidRPr="00F06A4F">
        <w:rPr>
          <w:rFonts w:ascii="Times New Roman" w:hAnsi="Times New Roman" w:cs="Times New Roman"/>
          <w:sz w:val="24"/>
          <w:szCs w:val="24"/>
        </w:rPr>
        <w:t>n</w:t>
      </w:r>
      <w:r w:rsidR="009A2490">
        <w:rPr>
          <w:rFonts w:ascii="Times New Roman" w:hAnsi="Times New Roman" w:cs="Times New Roman"/>
          <w:sz w:val="24"/>
          <w:szCs w:val="24"/>
        </w:rPr>
        <w:t>edeniyle</w:t>
      </w:r>
      <w:r w:rsidR="00102C25" w:rsidRPr="00F06A4F">
        <w:rPr>
          <w:rFonts w:ascii="Times New Roman" w:hAnsi="Times New Roman" w:cs="Times New Roman"/>
          <w:sz w:val="24"/>
          <w:szCs w:val="24"/>
        </w:rPr>
        <w:t xml:space="preserve"> anket</w:t>
      </w:r>
      <w:r w:rsidR="001B5610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1B561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B5610">
        <w:rPr>
          <w:rFonts w:ascii="Times New Roman" w:hAnsi="Times New Roman" w:cs="Times New Roman"/>
          <w:sz w:val="24"/>
          <w:szCs w:val="24"/>
        </w:rPr>
        <w:t xml:space="preserve"> edilmemişlerdir</w:t>
      </w:r>
      <w:r w:rsidR="00102C25" w:rsidRPr="00F06A4F">
        <w:rPr>
          <w:rFonts w:ascii="Times New Roman" w:hAnsi="Times New Roman" w:cs="Times New Roman"/>
          <w:sz w:val="24"/>
          <w:szCs w:val="24"/>
        </w:rPr>
        <w:t xml:space="preserve">. </w:t>
      </w:r>
      <w:r w:rsidR="00B956A1" w:rsidRPr="00F06A4F">
        <w:rPr>
          <w:rFonts w:ascii="Times New Roman" w:hAnsi="Times New Roman" w:cs="Times New Roman"/>
          <w:sz w:val="24"/>
          <w:szCs w:val="24"/>
        </w:rPr>
        <w:t>Anketler aynı kişi tarafından (NG) öğrencilerin toplu olarak bulunduğu sınıflarda ve tamamen gönüllülük esasına dayanarak yapılmış, ankete katılmak istemeyen</w:t>
      </w:r>
      <w:r w:rsidR="005A399A" w:rsidRPr="00F06A4F">
        <w:rPr>
          <w:rFonts w:ascii="Times New Roman" w:hAnsi="Times New Roman" w:cs="Times New Roman"/>
          <w:sz w:val="24"/>
          <w:szCs w:val="24"/>
        </w:rPr>
        <w:t xml:space="preserve"> öğrenci</w:t>
      </w:r>
      <w:r w:rsidR="00B956A1" w:rsidRPr="00F06A4F">
        <w:rPr>
          <w:rFonts w:ascii="Times New Roman" w:hAnsi="Times New Roman" w:cs="Times New Roman"/>
          <w:sz w:val="24"/>
          <w:szCs w:val="24"/>
        </w:rPr>
        <w:t xml:space="preserve">ler çalışmaya </w:t>
      </w:r>
      <w:proofErr w:type="gramStart"/>
      <w:r w:rsidR="00B956A1" w:rsidRPr="00F06A4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956A1" w:rsidRPr="00F06A4F">
        <w:rPr>
          <w:rFonts w:ascii="Times New Roman" w:hAnsi="Times New Roman" w:cs="Times New Roman"/>
          <w:sz w:val="24"/>
          <w:szCs w:val="24"/>
        </w:rPr>
        <w:t xml:space="preserve"> edilmemiştir. </w:t>
      </w:r>
    </w:p>
    <w:p w:rsidR="006F4841" w:rsidRDefault="006F4841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Ankette sorulan sorular aşağıda belirtilmiştir:</w:t>
      </w:r>
    </w:p>
    <w:p w:rsidR="006F4841" w:rsidRDefault="006F4841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Radyolojik Anatomi Anket Soruları</w:t>
      </w:r>
    </w:p>
    <w:p w:rsidR="006F4841" w:rsidRDefault="006F4841" w:rsidP="00D6375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>Sizce Radyolojik Anatomi dersi olmalı mıdır?</w:t>
      </w:r>
    </w:p>
    <w:p w:rsidR="006F4841" w:rsidRDefault="006F4841" w:rsidP="00D6375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Eğer verilmesi gerektiğini düşünüyorsanız, bu ders hangi sizce hangi sınıfta anlatılmalıdır?</w:t>
      </w:r>
    </w:p>
    <w:p w:rsidR="006F4841" w:rsidRPr="009947D3" w:rsidRDefault="009947D3" w:rsidP="00D6375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</w:rPr>
        <w:t>Radyolojik Anatomi dersinin herhangi bir faydasını gördünüz mü?</w:t>
      </w:r>
    </w:p>
    <w:p w:rsidR="009947D3" w:rsidRPr="009947D3" w:rsidRDefault="00C90795" w:rsidP="00D6375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Radyolojik Anatomi</w:t>
      </w:r>
      <w:r w:rsidR="009947D3" w:rsidRPr="00F06A4F">
        <w:rPr>
          <w:rFonts w:ascii="Times New Roman" w:hAnsi="Times New Roman" w:cs="Times New Roman"/>
          <w:bCs/>
          <w:sz w:val="24"/>
        </w:rPr>
        <w:t>nin ileriki hekimlik yaşantınıza size herhangi bir katkı sağlayacağını düşünüyor musunuz?</w:t>
      </w:r>
    </w:p>
    <w:p w:rsidR="009947D3" w:rsidRDefault="009947D3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Anatomi Anket Soruları</w:t>
      </w:r>
    </w:p>
    <w:p w:rsidR="009947D3" w:rsidRDefault="009947D3" w:rsidP="00D6375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Sizce </w:t>
      </w:r>
      <w:r>
        <w:rPr>
          <w:rFonts w:ascii="Times New Roman" w:hAnsi="Times New Roman" w:cs="Times New Roman"/>
          <w:sz w:val="24"/>
          <w:szCs w:val="24"/>
        </w:rPr>
        <w:t>Klin</w:t>
      </w:r>
      <w:r w:rsidRPr="00F06A4F">
        <w:rPr>
          <w:rFonts w:ascii="Times New Roman" w:hAnsi="Times New Roman" w:cs="Times New Roman"/>
          <w:sz w:val="24"/>
          <w:szCs w:val="24"/>
        </w:rPr>
        <w:t>ik Anatomi dersi olmalı mıdır?</w:t>
      </w:r>
    </w:p>
    <w:p w:rsidR="009947D3" w:rsidRDefault="009947D3" w:rsidP="00D6375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Eğer verilmesi gerektiğini düşünüyorsanız, bu ders hangi sizce hangi sınıfta anlatılmalıdır?</w:t>
      </w:r>
    </w:p>
    <w:p w:rsidR="009947D3" w:rsidRPr="009947D3" w:rsidRDefault="009947D3" w:rsidP="00D6375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Klin</w:t>
      </w:r>
      <w:r w:rsidRPr="00F06A4F">
        <w:rPr>
          <w:rFonts w:ascii="Times New Roman" w:hAnsi="Times New Roman" w:cs="Times New Roman"/>
          <w:sz w:val="24"/>
        </w:rPr>
        <w:t>ik Anatomi dersinin herhangi bir faydasını gördünüz mü?</w:t>
      </w:r>
    </w:p>
    <w:p w:rsidR="009947D3" w:rsidRPr="009947D3" w:rsidRDefault="009947D3" w:rsidP="00D6375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Klin</w:t>
      </w:r>
      <w:r w:rsidR="00C90795">
        <w:rPr>
          <w:rFonts w:ascii="Times New Roman" w:hAnsi="Times New Roman" w:cs="Times New Roman"/>
          <w:bCs/>
          <w:sz w:val="24"/>
        </w:rPr>
        <w:t>ik Anatomi</w:t>
      </w:r>
      <w:r w:rsidRPr="00F06A4F">
        <w:rPr>
          <w:rFonts w:ascii="Times New Roman" w:hAnsi="Times New Roman" w:cs="Times New Roman"/>
          <w:bCs/>
          <w:sz w:val="24"/>
        </w:rPr>
        <w:t>nin ileriki hekimlik yaşantınıza size herhangi bir katkı sağlayacağını düşünüyor musunuz?</w:t>
      </w:r>
    </w:p>
    <w:p w:rsidR="009947D3" w:rsidRPr="009947D3" w:rsidRDefault="009947D3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5E" w:rsidRDefault="00D6375E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75E" w:rsidRDefault="00D6375E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75E" w:rsidRDefault="00D6375E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99A" w:rsidRPr="00F06A4F" w:rsidRDefault="005A399A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A4F">
        <w:rPr>
          <w:rFonts w:ascii="Times New Roman" w:hAnsi="Times New Roman" w:cs="Times New Roman"/>
          <w:b/>
          <w:sz w:val="24"/>
          <w:szCs w:val="24"/>
        </w:rPr>
        <w:lastRenderedPageBreak/>
        <w:t>Bulgular</w:t>
      </w:r>
    </w:p>
    <w:p w:rsidR="00635632" w:rsidRDefault="00635632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katılan öğrencilerin dökümü Tablo 1’de verilmiştir. </w:t>
      </w:r>
    </w:p>
    <w:p w:rsidR="00E1116B" w:rsidRDefault="00E1116B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b/>
                <w:bCs/>
                <w:kern w:val="24"/>
                <w:szCs w:val="36"/>
              </w:rPr>
              <w:t>Sınıf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proofErr w:type="gramStart"/>
            <w:r w:rsidRPr="000207B7">
              <w:rPr>
                <w:b/>
                <w:bCs/>
                <w:kern w:val="24"/>
                <w:szCs w:val="36"/>
              </w:rPr>
              <w:t>n</w:t>
            </w:r>
            <w:proofErr w:type="gramEnd"/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2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 xml:space="preserve"> 333</w:t>
            </w:r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4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209</w:t>
            </w:r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5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198</w:t>
            </w:r>
          </w:p>
        </w:tc>
      </w:tr>
      <w:tr w:rsidR="00E1116B" w:rsidTr="009F6D98">
        <w:tc>
          <w:tcPr>
            <w:tcW w:w="1101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6</w:t>
            </w:r>
          </w:p>
        </w:tc>
        <w:tc>
          <w:tcPr>
            <w:tcW w:w="992" w:type="dxa"/>
          </w:tcPr>
          <w:p w:rsidR="00E1116B" w:rsidRPr="000207B7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0207B7">
              <w:rPr>
                <w:color w:val="000000" w:themeColor="dark1"/>
                <w:kern w:val="24"/>
                <w:szCs w:val="36"/>
              </w:rPr>
              <w:t>203</w:t>
            </w:r>
          </w:p>
        </w:tc>
      </w:tr>
      <w:tr w:rsidR="00E1116B" w:rsidTr="009F6D98">
        <w:tc>
          <w:tcPr>
            <w:tcW w:w="1101" w:type="dxa"/>
          </w:tcPr>
          <w:p w:rsidR="00E1116B" w:rsidRPr="001F0A03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dark1"/>
                <w:kern w:val="24"/>
                <w:szCs w:val="36"/>
              </w:rPr>
            </w:pPr>
            <w:r w:rsidRPr="001F0A03">
              <w:rPr>
                <w:b/>
                <w:color w:val="000000" w:themeColor="dark1"/>
                <w:kern w:val="24"/>
                <w:szCs w:val="36"/>
              </w:rPr>
              <w:t>Toplam</w:t>
            </w:r>
          </w:p>
        </w:tc>
        <w:tc>
          <w:tcPr>
            <w:tcW w:w="992" w:type="dxa"/>
          </w:tcPr>
          <w:p w:rsidR="00E1116B" w:rsidRPr="001F0A03" w:rsidRDefault="00E1116B" w:rsidP="00D6375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dark1"/>
                <w:kern w:val="24"/>
                <w:szCs w:val="36"/>
              </w:rPr>
            </w:pPr>
            <w:r w:rsidRPr="001F0A03">
              <w:rPr>
                <w:b/>
                <w:color w:val="000000" w:themeColor="dark1"/>
                <w:kern w:val="24"/>
                <w:szCs w:val="36"/>
              </w:rPr>
              <w:t>943</w:t>
            </w:r>
          </w:p>
        </w:tc>
      </w:tr>
    </w:tbl>
    <w:p w:rsidR="00E1116B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394">
        <w:rPr>
          <w:rFonts w:ascii="Times New Roman" w:hAnsi="Times New Roman" w:cs="Times New Roman"/>
          <w:b/>
          <w:sz w:val="24"/>
        </w:rPr>
        <w:t>Tablo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CC14FA">
        <w:rPr>
          <w:rFonts w:ascii="Times New Roman" w:hAnsi="Times New Roman" w:cs="Times New Roman"/>
          <w:sz w:val="24"/>
        </w:rPr>
        <w:t>Anket uygulamasına katılan öğrencilerin dökümü</w:t>
      </w:r>
    </w:p>
    <w:p w:rsidR="00E1116B" w:rsidRDefault="00E1116B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E6" w:rsidRPr="00F06A4F" w:rsidRDefault="00DB5AAE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1B1AE6" w:rsidRPr="00F06A4F">
        <w:rPr>
          <w:rFonts w:ascii="Times New Roman" w:hAnsi="Times New Roman" w:cs="Times New Roman"/>
          <w:sz w:val="24"/>
          <w:szCs w:val="24"/>
        </w:rPr>
        <w:t>“Sizce Radyolojik Anatomi dersi olmalı mıdır?” sorusuna verdi</w:t>
      </w:r>
      <w:r>
        <w:rPr>
          <w:rFonts w:ascii="Times New Roman" w:hAnsi="Times New Roman" w:cs="Times New Roman"/>
          <w:sz w:val="24"/>
          <w:szCs w:val="24"/>
        </w:rPr>
        <w:t>kleri</w:t>
      </w:r>
      <w:r w:rsidR="001B1AE6"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CC14FA">
        <w:rPr>
          <w:rFonts w:ascii="Times New Roman" w:hAnsi="Times New Roman" w:cs="Times New Roman"/>
          <w:sz w:val="24"/>
          <w:szCs w:val="24"/>
        </w:rPr>
        <w:t>yanıt</w:t>
      </w:r>
      <w:r w:rsidR="001B1AE6" w:rsidRPr="00F06A4F">
        <w:rPr>
          <w:rFonts w:ascii="Times New Roman" w:hAnsi="Times New Roman" w:cs="Times New Roman"/>
          <w:sz w:val="24"/>
          <w:szCs w:val="24"/>
        </w:rPr>
        <w:t xml:space="preserve">lar </w:t>
      </w:r>
      <w:r w:rsidR="00635632">
        <w:rPr>
          <w:rFonts w:ascii="Times New Roman" w:hAnsi="Times New Roman" w:cs="Times New Roman"/>
          <w:sz w:val="24"/>
          <w:szCs w:val="24"/>
        </w:rPr>
        <w:t>Grafik</w:t>
      </w:r>
      <w:r w:rsidR="001B1AE6" w:rsidRPr="00F06A4F">
        <w:rPr>
          <w:rFonts w:ascii="Times New Roman" w:hAnsi="Times New Roman" w:cs="Times New Roman"/>
          <w:sz w:val="24"/>
          <w:szCs w:val="24"/>
        </w:rPr>
        <w:t xml:space="preserve"> 1’de</w:t>
      </w:r>
      <w:r w:rsidR="008E32D6" w:rsidRPr="00F06A4F">
        <w:rPr>
          <w:rFonts w:ascii="Times New Roman" w:hAnsi="Times New Roman" w:cs="Times New Roman"/>
          <w:sz w:val="24"/>
          <w:szCs w:val="24"/>
        </w:rPr>
        <w:t>,</w:t>
      </w:r>
      <w:r w:rsidR="001B1AE6" w:rsidRPr="00F06A4F">
        <w:rPr>
          <w:rFonts w:ascii="Times New Roman" w:hAnsi="Times New Roman" w:cs="Times New Roman"/>
          <w:sz w:val="24"/>
          <w:szCs w:val="24"/>
        </w:rPr>
        <w:t xml:space="preserve"> “Sizce Klinik Anatomi dersi olmalı mıdır?” </w:t>
      </w:r>
      <w:r w:rsidR="008E32D6" w:rsidRPr="00F06A4F">
        <w:rPr>
          <w:rFonts w:ascii="Times New Roman" w:hAnsi="Times New Roman" w:cs="Times New Roman"/>
          <w:sz w:val="24"/>
          <w:szCs w:val="24"/>
        </w:rPr>
        <w:t>sorusuna ver</w:t>
      </w:r>
      <w:r>
        <w:rPr>
          <w:rFonts w:ascii="Times New Roman" w:hAnsi="Times New Roman" w:cs="Times New Roman"/>
          <w:sz w:val="24"/>
          <w:szCs w:val="24"/>
        </w:rPr>
        <w:t>dik</w:t>
      </w:r>
      <w:r w:rsidR="008E32D6" w:rsidRPr="00F06A4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ri</w:t>
      </w:r>
      <w:r w:rsidR="008E32D6"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CC14FA">
        <w:rPr>
          <w:rFonts w:ascii="Times New Roman" w:hAnsi="Times New Roman" w:cs="Times New Roman"/>
          <w:sz w:val="24"/>
          <w:szCs w:val="24"/>
        </w:rPr>
        <w:t>yanıt</w:t>
      </w:r>
      <w:r w:rsidR="008E32D6" w:rsidRPr="00F06A4F">
        <w:rPr>
          <w:rFonts w:ascii="Times New Roman" w:hAnsi="Times New Roman" w:cs="Times New Roman"/>
          <w:sz w:val="24"/>
          <w:szCs w:val="24"/>
        </w:rPr>
        <w:t xml:space="preserve">lar </w:t>
      </w:r>
      <w:r w:rsidR="004A6B23">
        <w:rPr>
          <w:rFonts w:ascii="Times New Roman" w:hAnsi="Times New Roman" w:cs="Times New Roman"/>
          <w:sz w:val="24"/>
          <w:szCs w:val="24"/>
        </w:rPr>
        <w:t xml:space="preserve">ise </w:t>
      </w:r>
      <w:r w:rsidR="00635632">
        <w:rPr>
          <w:rFonts w:ascii="Times New Roman" w:hAnsi="Times New Roman" w:cs="Times New Roman"/>
          <w:sz w:val="24"/>
          <w:szCs w:val="24"/>
        </w:rPr>
        <w:t>Grafik</w:t>
      </w:r>
      <w:r w:rsidR="008E32D6" w:rsidRPr="00F06A4F">
        <w:rPr>
          <w:rFonts w:ascii="Times New Roman" w:hAnsi="Times New Roman" w:cs="Times New Roman"/>
          <w:sz w:val="24"/>
          <w:szCs w:val="24"/>
        </w:rPr>
        <w:t xml:space="preserve"> 2’de gösterilmiştir. </w:t>
      </w:r>
      <w:r>
        <w:rPr>
          <w:rFonts w:ascii="Times New Roman" w:hAnsi="Times New Roman" w:cs="Times New Roman"/>
          <w:sz w:val="24"/>
          <w:szCs w:val="24"/>
        </w:rPr>
        <w:t xml:space="preserve">Her iki grafikten de anlaşılacağı üzere sınıf büyüdükçe gerek radyolojik anatomi, gerekse de klinik anatomi derslerinin olmasını isteyenlerin yüzdesi artmaktadır. 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7AEE11D0" wp14:editId="1A2E6116">
            <wp:extent cx="4984750" cy="2755900"/>
            <wp:effectExtent l="0" t="0" r="25400" b="2540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1: </w:t>
      </w:r>
      <w:r w:rsidRPr="00CC14FA">
        <w:rPr>
          <w:rFonts w:ascii="Times New Roman" w:hAnsi="Times New Roman" w:cs="Times New Roman"/>
          <w:sz w:val="24"/>
        </w:rPr>
        <w:t>“Sizce Radyolojik Anatomi dersi olmalı mıdır?” sorusuna öğrencilerinin yanıtları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inline distT="0" distB="0" distL="0" distR="0" wp14:anchorId="004F3AAD" wp14:editId="7A8A9C5E">
            <wp:extent cx="4984750" cy="2711450"/>
            <wp:effectExtent l="0" t="0" r="25400" b="1270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14FA" w:rsidRP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2: </w:t>
      </w:r>
      <w:r w:rsidRPr="00CC14FA">
        <w:rPr>
          <w:rFonts w:ascii="Times New Roman" w:hAnsi="Times New Roman" w:cs="Times New Roman"/>
          <w:sz w:val="24"/>
        </w:rPr>
        <w:t>“Sizce Klinik Anatomi dersi olmalı mıdır?” sorusuna öğrencilerinin yanıtları</w:t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06A4F" w:rsidRDefault="00F06A4F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Radyolojik </w:t>
      </w:r>
      <w:r w:rsidR="004A6B23">
        <w:rPr>
          <w:rFonts w:ascii="Times New Roman" w:hAnsi="Times New Roman" w:cs="Times New Roman"/>
          <w:sz w:val="24"/>
          <w:szCs w:val="24"/>
        </w:rPr>
        <w:t xml:space="preserve">ve Klinik </w:t>
      </w:r>
      <w:r w:rsidRPr="00F06A4F">
        <w:rPr>
          <w:rFonts w:ascii="Times New Roman" w:hAnsi="Times New Roman" w:cs="Times New Roman"/>
          <w:sz w:val="24"/>
          <w:szCs w:val="24"/>
        </w:rPr>
        <w:t>Anatomi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="004A6B23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6B23">
        <w:rPr>
          <w:rFonts w:ascii="Times New Roman" w:hAnsi="Times New Roman" w:cs="Times New Roman"/>
          <w:sz w:val="24"/>
          <w:szCs w:val="24"/>
        </w:rPr>
        <w:t xml:space="preserve">nin hangi sınıfta anlatılması gerektiği </w:t>
      </w:r>
      <w:r>
        <w:rPr>
          <w:rFonts w:ascii="Times New Roman" w:hAnsi="Times New Roman" w:cs="Times New Roman"/>
          <w:sz w:val="24"/>
          <w:szCs w:val="24"/>
        </w:rPr>
        <w:t xml:space="preserve">sorusuna verilen </w:t>
      </w:r>
      <w:r w:rsidR="00CC14FA">
        <w:rPr>
          <w:rFonts w:ascii="Times New Roman" w:hAnsi="Times New Roman" w:cs="Times New Roman"/>
          <w:sz w:val="24"/>
          <w:szCs w:val="24"/>
        </w:rPr>
        <w:t>yanıt</w:t>
      </w:r>
      <w:r>
        <w:rPr>
          <w:rFonts w:ascii="Times New Roman" w:hAnsi="Times New Roman" w:cs="Times New Roman"/>
          <w:sz w:val="24"/>
          <w:szCs w:val="24"/>
        </w:rPr>
        <w:t xml:space="preserve">lar </w:t>
      </w:r>
      <w:r w:rsidR="00635632">
        <w:rPr>
          <w:rFonts w:ascii="Times New Roman" w:hAnsi="Times New Roman" w:cs="Times New Roman"/>
          <w:sz w:val="24"/>
          <w:szCs w:val="24"/>
        </w:rPr>
        <w:t>Grafik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B23">
        <w:rPr>
          <w:rFonts w:ascii="Times New Roman" w:hAnsi="Times New Roman" w:cs="Times New Roman"/>
          <w:sz w:val="24"/>
          <w:szCs w:val="24"/>
        </w:rPr>
        <w:t>3 ve 4</w:t>
      </w:r>
      <w:r>
        <w:rPr>
          <w:rFonts w:ascii="Times New Roman" w:hAnsi="Times New Roman" w:cs="Times New Roman"/>
          <w:sz w:val="24"/>
          <w:szCs w:val="24"/>
        </w:rPr>
        <w:t>’te verilmiştir.</w:t>
      </w:r>
      <w:r w:rsidR="00DB5AAE">
        <w:rPr>
          <w:rFonts w:ascii="Times New Roman" w:hAnsi="Times New Roman" w:cs="Times New Roman"/>
          <w:sz w:val="24"/>
          <w:szCs w:val="24"/>
        </w:rPr>
        <w:t xml:space="preserve"> Öğrenciler hem radyolojik, hem de klinik anatomi derslerini özellikle klinik stajlar döneminde verilmesini istemekte ve son sınıfta, yani 6. </w:t>
      </w:r>
      <w:r w:rsidR="00D31BCF">
        <w:rPr>
          <w:rFonts w:ascii="Times New Roman" w:hAnsi="Times New Roman" w:cs="Times New Roman"/>
          <w:sz w:val="24"/>
          <w:szCs w:val="24"/>
        </w:rPr>
        <w:t>s</w:t>
      </w:r>
      <w:r w:rsidR="00DB5AAE">
        <w:rPr>
          <w:rFonts w:ascii="Times New Roman" w:hAnsi="Times New Roman" w:cs="Times New Roman"/>
          <w:sz w:val="24"/>
          <w:szCs w:val="24"/>
        </w:rPr>
        <w:t>ınıfta bu dersleri almak istememektedirler.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329DB1B8" wp14:editId="66B7B389">
            <wp:extent cx="5035550" cy="2914650"/>
            <wp:effectExtent l="0" t="0" r="12700" b="1905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3: </w:t>
      </w:r>
      <w:r w:rsidRPr="00CC14FA">
        <w:rPr>
          <w:rFonts w:ascii="Times New Roman" w:hAnsi="Times New Roman" w:cs="Times New Roman"/>
          <w:sz w:val="24"/>
        </w:rPr>
        <w:t>“Sizce Radyolojik Anatomi dersi hangi sınıfta anlatılmalıdır?” sorusuna öğrencilerinin yanıtları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inline distT="0" distB="0" distL="0" distR="0" wp14:anchorId="306F8ADA" wp14:editId="422E9F3E">
            <wp:extent cx="5092700" cy="2781300"/>
            <wp:effectExtent l="0" t="0" r="12700" b="1905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P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4: </w:t>
      </w:r>
      <w:r w:rsidRPr="00CC14FA">
        <w:rPr>
          <w:rFonts w:ascii="Times New Roman" w:hAnsi="Times New Roman" w:cs="Times New Roman"/>
          <w:sz w:val="24"/>
        </w:rPr>
        <w:t>“Sizce Klinik Anatomi dersi hangi sınıfta anlatılmalıdır?” sorusuna öğrencilerinin yanıtları</w:t>
      </w:r>
    </w:p>
    <w:p w:rsidR="00CC14FA" w:rsidRDefault="00CC14FA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F" w:rsidRDefault="00CC14FA" w:rsidP="00D637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F06A4F" w:rsidRPr="00F06A4F">
        <w:rPr>
          <w:rFonts w:ascii="Times New Roman" w:hAnsi="Times New Roman" w:cs="Times New Roman"/>
          <w:sz w:val="24"/>
          <w:szCs w:val="24"/>
        </w:rPr>
        <w:t>“</w:t>
      </w:r>
      <w:r w:rsidR="00F06A4F" w:rsidRPr="00F06A4F">
        <w:rPr>
          <w:rFonts w:ascii="Times New Roman" w:hAnsi="Times New Roman" w:cs="Times New Roman"/>
          <w:sz w:val="24"/>
        </w:rPr>
        <w:t>Radyolojik Anatomi dersinin herhangi bir faydasını gördünüz mü?”</w:t>
      </w:r>
      <w:r w:rsidR="00F06A4F">
        <w:rPr>
          <w:rFonts w:ascii="Times New Roman" w:hAnsi="Times New Roman" w:cs="Times New Roman"/>
          <w:sz w:val="24"/>
        </w:rPr>
        <w:t xml:space="preserve"> sorusuna öğrencilerin verdiği yanıtlar </w:t>
      </w:r>
      <w:r w:rsidR="00557D58">
        <w:rPr>
          <w:rFonts w:ascii="Times New Roman" w:hAnsi="Times New Roman" w:cs="Times New Roman"/>
          <w:sz w:val="24"/>
        </w:rPr>
        <w:t>Grafik</w:t>
      </w:r>
      <w:r w:rsidR="00F06A4F">
        <w:rPr>
          <w:rFonts w:ascii="Times New Roman" w:hAnsi="Times New Roman" w:cs="Times New Roman"/>
          <w:sz w:val="24"/>
        </w:rPr>
        <w:t xml:space="preserve"> </w:t>
      </w:r>
      <w:r w:rsidR="004A6B23">
        <w:rPr>
          <w:rFonts w:ascii="Times New Roman" w:hAnsi="Times New Roman" w:cs="Times New Roman"/>
          <w:sz w:val="24"/>
        </w:rPr>
        <w:t>5</w:t>
      </w:r>
      <w:r w:rsidR="00F06A4F">
        <w:rPr>
          <w:rFonts w:ascii="Times New Roman" w:hAnsi="Times New Roman" w:cs="Times New Roman"/>
          <w:sz w:val="24"/>
        </w:rPr>
        <w:t>’</w:t>
      </w:r>
      <w:r w:rsidR="004A6B23">
        <w:rPr>
          <w:rFonts w:ascii="Times New Roman" w:hAnsi="Times New Roman" w:cs="Times New Roman"/>
          <w:sz w:val="24"/>
        </w:rPr>
        <w:t>te ve</w:t>
      </w:r>
      <w:r w:rsidR="00F06A4F">
        <w:rPr>
          <w:rFonts w:ascii="Times New Roman" w:hAnsi="Times New Roman" w:cs="Times New Roman"/>
          <w:sz w:val="24"/>
        </w:rPr>
        <w:t xml:space="preserve"> </w:t>
      </w:r>
      <w:r w:rsidR="00F06A4F" w:rsidRPr="00F06A4F">
        <w:rPr>
          <w:rFonts w:ascii="Times New Roman" w:hAnsi="Times New Roman" w:cs="Times New Roman"/>
          <w:sz w:val="24"/>
          <w:szCs w:val="24"/>
        </w:rPr>
        <w:t>“</w:t>
      </w:r>
      <w:r w:rsidR="00F06A4F">
        <w:rPr>
          <w:rFonts w:ascii="Times New Roman" w:hAnsi="Times New Roman" w:cs="Times New Roman"/>
          <w:sz w:val="24"/>
          <w:szCs w:val="24"/>
        </w:rPr>
        <w:t>Klin</w:t>
      </w:r>
      <w:r w:rsidR="00F06A4F" w:rsidRPr="00F06A4F">
        <w:rPr>
          <w:rFonts w:ascii="Times New Roman" w:hAnsi="Times New Roman" w:cs="Times New Roman"/>
          <w:sz w:val="24"/>
        </w:rPr>
        <w:t>ik Anatomi dersinin herhangi bir faydasını gördünüz mü?”</w:t>
      </w:r>
      <w:r w:rsidR="00F06A4F">
        <w:rPr>
          <w:rFonts w:ascii="Times New Roman" w:hAnsi="Times New Roman" w:cs="Times New Roman"/>
          <w:sz w:val="24"/>
        </w:rPr>
        <w:t xml:space="preserve"> sorusuna öğrencilerin verdiği yanıtlar </w:t>
      </w:r>
      <w:r w:rsidR="00557D58">
        <w:rPr>
          <w:rFonts w:ascii="Times New Roman" w:hAnsi="Times New Roman" w:cs="Times New Roman"/>
          <w:sz w:val="24"/>
        </w:rPr>
        <w:t>Grafik</w:t>
      </w:r>
      <w:r w:rsidR="00F06A4F">
        <w:rPr>
          <w:rFonts w:ascii="Times New Roman" w:hAnsi="Times New Roman" w:cs="Times New Roman"/>
          <w:sz w:val="24"/>
        </w:rPr>
        <w:t xml:space="preserve"> </w:t>
      </w:r>
      <w:r w:rsidR="004A6B23">
        <w:rPr>
          <w:rFonts w:ascii="Times New Roman" w:hAnsi="Times New Roman" w:cs="Times New Roman"/>
          <w:sz w:val="24"/>
        </w:rPr>
        <w:t>6</w:t>
      </w:r>
      <w:r w:rsidR="00F06A4F">
        <w:rPr>
          <w:rFonts w:ascii="Times New Roman" w:hAnsi="Times New Roman" w:cs="Times New Roman"/>
          <w:sz w:val="24"/>
        </w:rPr>
        <w:t>’d</w:t>
      </w:r>
      <w:r w:rsidR="004A6B23">
        <w:rPr>
          <w:rFonts w:ascii="Times New Roman" w:hAnsi="Times New Roman" w:cs="Times New Roman"/>
          <w:sz w:val="24"/>
        </w:rPr>
        <w:t>a</w:t>
      </w:r>
      <w:r w:rsidR="00F06A4F">
        <w:rPr>
          <w:rFonts w:ascii="Times New Roman" w:hAnsi="Times New Roman" w:cs="Times New Roman"/>
          <w:sz w:val="24"/>
        </w:rPr>
        <w:t xml:space="preserve"> özetlenmiştir.</w:t>
      </w:r>
      <w:r w:rsidR="00DB5AAE">
        <w:rPr>
          <w:rFonts w:ascii="Times New Roman" w:hAnsi="Times New Roman" w:cs="Times New Roman"/>
          <w:sz w:val="24"/>
        </w:rPr>
        <w:t xml:space="preserve"> </w:t>
      </w:r>
      <w:r w:rsidR="00802514">
        <w:rPr>
          <w:rFonts w:ascii="Times New Roman" w:hAnsi="Times New Roman" w:cs="Times New Roman"/>
          <w:sz w:val="24"/>
        </w:rPr>
        <w:t>Grafiklerden de anlaşılacağı üzere, öğrencilerin klinik anatomi derslerinden, radyolojik anatomi derslerine oranla daha çok faydalandıkları anlaşılmaktadır.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19FE365" wp14:editId="3DE35350">
            <wp:extent cx="4686300" cy="2571750"/>
            <wp:effectExtent l="0" t="0" r="19050" b="1905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5: </w:t>
      </w:r>
      <w:r w:rsidRPr="00CC14FA">
        <w:rPr>
          <w:rFonts w:ascii="Times New Roman" w:hAnsi="Times New Roman" w:cs="Times New Roman"/>
          <w:sz w:val="24"/>
        </w:rPr>
        <w:t>“Radyolojik Anatomi dersinin herhangi bir faydasını gördünüz mü?” sorusuna öğrencilerinin yanıtları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Pr="004E33EF" w:rsidRDefault="00CC14FA" w:rsidP="00D6375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4E33EF">
        <w:rPr>
          <w:rFonts w:ascii="Times New Roman" w:hAnsi="Times New Roman" w:cs="Times New Roman"/>
          <w:b/>
          <w:i/>
          <w:noProof/>
          <w:sz w:val="24"/>
          <w:lang w:eastAsia="tr-TR"/>
        </w:rPr>
        <w:lastRenderedPageBreak/>
        <w:drawing>
          <wp:inline distT="0" distB="0" distL="0" distR="0" wp14:anchorId="54FFF1B0" wp14:editId="79E7CDAB">
            <wp:extent cx="4762500" cy="2501900"/>
            <wp:effectExtent l="0" t="0" r="19050" b="1270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6: </w:t>
      </w:r>
      <w:r w:rsidRPr="00CC14FA">
        <w:rPr>
          <w:rFonts w:ascii="Times New Roman" w:hAnsi="Times New Roman" w:cs="Times New Roman"/>
          <w:sz w:val="24"/>
        </w:rPr>
        <w:t>“Klinik Anatomi dersinin herhangi bir faydasını gördünüz mü?” sorusuna öğrencilerinin yanıtları</w:t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06A4F" w:rsidRDefault="00CC14FA" w:rsidP="00D637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06A4F">
        <w:rPr>
          <w:rFonts w:ascii="Times New Roman" w:hAnsi="Times New Roman" w:cs="Times New Roman"/>
          <w:sz w:val="24"/>
          <w:szCs w:val="24"/>
        </w:rPr>
        <w:t xml:space="preserve"> </w:t>
      </w:r>
      <w:r w:rsidR="00F06A4F" w:rsidRPr="00F06A4F">
        <w:rPr>
          <w:rFonts w:ascii="Times New Roman" w:hAnsi="Times New Roman" w:cs="Times New Roman"/>
          <w:sz w:val="24"/>
          <w:szCs w:val="24"/>
        </w:rPr>
        <w:t>“</w:t>
      </w:r>
      <w:r w:rsidR="00C90795">
        <w:rPr>
          <w:rFonts w:ascii="Times New Roman" w:hAnsi="Times New Roman" w:cs="Times New Roman"/>
          <w:bCs/>
          <w:sz w:val="24"/>
        </w:rPr>
        <w:t>Radyolojik Anatomi</w:t>
      </w:r>
      <w:r w:rsidR="00F06A4F" w:rsidRPr="00F06A4F">
        <w:rPr>
          <w:rFonts w:ascii="Times New Roman" w:hAnsi="Times New Roman" w:cs="Times New Roman"/>
          <w:bCs/>
          <w:sz w:val="24"/>
        </w:rPr>
        <w:t>nin ileriki hekimlik yaşantınıza size herhangi bir katkı sağlayacağını düşünüyor musunuz?”</w:t>
      </w:r>
      <w:r w:rsidR="00F06A4F">
        <w:rPr>
          <w:rFonts w:ascii="Times New Roman" w:hAnsi="Times New Roman" w:cs="Times New Roman"/>
          <w:bCs/>
          <w:sz w:val="24"/>
        </w:rPr>
        <w:t xml:space="preserve"> sorusuna verilen yanıtlar</w:t>
      </w:r>
      <w:r w:rsidR="006A43D2">
        <w:rPr>
          <w:rFonts w:ascii="Times New Roman" w:hAnsi="Times New Roman" w:cs="Times New Roman"/>
          <w:bCs/>
          <w:sz w:val="24"/>
        </w:rPr>
        <w:t xml:space="preserve"> </w:t>
      </w:r>
      <w:r w:rsidR="00557D58">
        <w:rPr>
          <w:rFonts w:ascii="Times New Roman" w:hAnsi="Times New Roman" w:cs="Times New Roman"/>
          <w:bCs/>
          <w:sz w:val="24"/>
        </w:rPr>
        <w:t>Grafik</w:t>
      </w:r>
      <w:r w:rsidR="006A43D2">
        <w:rPr>
          <w:rFonts w:ascii="Times New Roman" w:hAnsi="Times New Roman" w:cs="Times New Roman"/>
          <w:bCs/>
          <w:sz w:val="24"/>
        </w:rPr>
        <w:t xml:space="preserve"> </w:t>
      </w:r>
      <w:r w:rsidR="004A6B23">
        <w:rPr>
          <w:rFonts w:ascii="Times New Roman" w:hAnsi="Times New Roman" w:cs="Times New Roman"/>
          <w:bCs/>
          <w:sz w:val="24"/>
        </w:rPr>
        <w:t>7</w:t>
      </w:r>
      <w:r w:rsidR="006A43D2">
        <w:rPr>
          <w:rFonts w:ascii="Times New Roman" w:hAnsi="Times New Roman" w:cs="Times New Roman"/>
          <w:bCs/>
          <w:sz w:val="24"/>
        </w:rPr>
        <w:t>’d</w:t>
      </w:r>
      <w:r w:rsidR="004A6B23">
        <w:rPr>
          <w:rFonts w:ascii="Times New Roman" w:hAnsi="Times New Roman" w:cs="Times New Roman"/>
          <w:bCs/>
          <w:sz w:val="24"/>
        </w:rPr>
        <w:t>e</w:t>
      </w:r>
      <w:r w:rsidR="006A43D2">
        <w:rPr>
          <w:rFonts w:ascii="Times New Roman" w:hAnsi="Times New Roman" w:cs="Times New Roman"/>
          <w:bCs/>
          <w:sz w:val="24"/>
        </w:rPr>
        <w:t xml:space="preserve">, </w:t>
      </w:r>
      <w:r w:rsidR="006A43D2" w:rsidRPr="00F06A4F">
        <w:rPr>
          <w:rFonts w:ascii="Times New Roman" w:hAnsi="Times New Roman" w:cs="Times New Roman"/>
          <w:sz w:val="24"/>
          <w:szCs w:val="24"/>
        </w:rPr>
        <w:t>“</w:t>
      </w:r>
      <w:r w:rsidR="006A43D2">
        <w:rPr>
          <w:rFonts w:ascii="Times New Roman" w:hAnsi="Times New Roman" w:cs="Times New Roman"/>
          <w:sz w:val="24"/>
          <w:szCs w:val="24"/>
        </w:rPr>
        <w:t>Klin</w:t>
      </w:r>
      <w:r w:rsidR="00C90795">
        <w:rPr>
          <w:rFonts w:ascii="Times New Roman" w:hAnsi="Times New Roman" w:cs="Times New Roman"/>
          <w:bCs/>
          <w:sz w:val="24"/>
        </w:rPr>
        <w:t>ik Anatomi</w:t>
      </w:r>
      <w:r w:rsidR="006A43D2" w:rsidRPr="00F06A4F">
        <w:rPr>
          <w:rFonts w:ascii="Times New Roman" w:hAnsi="Times New Roman" w:cs="Times New Roman"/>
          <w:bCs/>
          <w:sz w:val="24"/>
        </w:rPr>
        <w:t>nin ileriki hekimlik yaşantınıza size herhangi bir katkı sağlayacağını düşünüyor musunuz?”</w:t>
      </w:r>
      <w:r w:rsidR="006A43D2">
        <w:rPr>
          <w:rFonts w:ascii="Times New Roman" w:hAnsi="Times New Roman" w:cs="Times New Roman"/>
          <w:bCs/>
          <w:sz w:val="24"/>
        </w:rPr>
        <w:t xml:space="preserve"> sorusuna verilen yanıtlar </w:t>
      </w:r>
      <w:r w:rsidR="004A6B23">
        <w:rPr>
          <w:rFonts w:ascii="Times New Roman" w:hAnsi="Times New Roman" w:cs="Times New Roman"/>
          <w:bCs/>
          <w:sz w:val="24"/>
        </w:rPr>
        <w:t xml:space="preserve">ise </w:t>
      </w:r>
      <w:r w:rsidR="00557D58">
        <w:rPr>
          <w:rFonts w:ascii="Times New Roman" w:hAnsi="Times New Roman" w:cs="Times New Roman"/>
          <w:bCs/>
          <w:sz w:val="24"/>
        </w:rPr>
        <w:t>Grafik</w:t>
      </w:r>
      <w:r w:rsidR="006A43D2">
        <w:rPr>
          <w:rFonts w:ascii="Times New Roman" w:hAnsi="Times New Roman" w:cs="Times New Roman"/>
          <w:bCs/>
          <w:sz w:val="24"/>
        </w:rPr>
        <w:t xml:space="preserve"> </w:t>
      </w:r>
      <w:r w:rsidR="004A6B23">
        <w:rPr>
          <w:rFonts w:ascii="Times New Roman" w:hAnsi="Times New Roman" w:cs="Times New Roman"/>
          <w:bCs/>
          <w:sz w:val="24"/>
        </w:rPr>
        <w:t>8’</w:t>
      </w:r>
      <w:r w:rsidR="006A43D2">
        <w:rPr>
          <w:rFonts w:ascii="Times New Roman" w:hAnsi="Times New Roman" w:cs="Times New Roman"/>
          <w:bCs/>
          <w:sz w:val="24"/>
        </w:rPr>
        <w:t>de gösterilmiştir.</w:t>
      </w:r>
      <w:r w:rsidR="00C90795">
        <w:rPr>
          <w:rFonts w:ascii="Times New Roman" w:hAnsi="Times New Roman" w:cs="Times New Roman"/>
          <w:bCs/>
          <w:sz w:val="24"/>
        </w:rPr>
        <w:t xml:space="preserve"> Klinik anatomi derslerinin ileriki hekimlik yaşantılarında katkı sağlayacağını düşünenlerin,</w:t>
      </w:r>
      <w:r w:rsidR="00C90795" w:rsidRPr="00C90795">
        <w:rPr>
          <w:rFonts w:ascii="Times New Roman" w:hAnsi="Times New Roman" w:cs="Times New Roman"/>
          <w:bCs/>
          <w:sz w:val="24"/>
        </w:rPr>
        <w:t xml:space="preserve"> </w:t>
      </w:r>
      <w:r w:rsidR="00C90795">
        <w:rPr>
          <w:rFonts w:ascii="Times New Roman" w:hAnsi="Times New Roman" w:cs="Times New Roman"/>
          <w:bCs/>
          <w:sz w:val="24"/>
        </w:rPr>
        <w:t>radyolojik anatomi derslerine oranla az da olsa daha fazla olduğu görülmektedir.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4CCA0611" wp14:editId="7D579835">
            <wp:extent cx="4813300" cy="2622550"/>
            <wp:effectExtent l="0" t="0" r="25400" b="2540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P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7: </w:t>
      </w:r>
      <w:r w:rsidRPr="00CC14FA">
        <w:rPr>
          <w:rFonts w:ascii="Times New Roman" w:hAnsi="Times New Roman" w:cs="Times New Roman"/>
          <w:sz w:val="24"/>
        </w:rPr>
        <w:t xml:space="preserve">“Radyolojik </w:t>
      </w:r>
      <w:proofErr w:type="spellStart"/>
      <w:r w:rsidRPr="00CC14FA">
        <w:rPr>
          <w:rFonts w:ascii="Times New Roman" w:hAnsi="Times New Roman" w:cs="Times New Roman"/>
          <w:sz w:val="24"/>
        </w:rPr>
        <w:t>Anatomi’nin</w:t>
      </w:r>
      <w:proofErr w:type="spellEnd"/>
      <w:r w:rsidRPr="00CC14FA">
        <w:rPr>
          <w:rFonts w:ascii="Times New Roman" w:hAnsi="Times New Roman" w:cs="Times New Roman"/>
          <w:sz w:val="24"/>
        </w:rPr>
        <w:t xml:space="preserve"> ileriki hekimlik yaşantınızda size herhangi bir katkı sağlayacağını düşünüyor musunuz?” sorusuna öğrencilerinin yanıtları</w:t>
      </w:r>
    </w:p>
    <w:p w:rsidR="00CC14FA" w:rsidRDefault="00CC14FA" w:rsidP="00D637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inline distT="0" distB="0" distL="0" distR="0" wp14:anchorId="247727E2" wp14:editId="0A41E20C">
            <wp:extent cx="4921250" cy="2794000"/>
            <wp:effectExtent l="0" t="0" r="12700" b="2540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14FA" w:rsidRPr="00CC14FA" w:rsidRDefault="00CC14FA" w:rsidP="00D6375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Grafik 8: </w:t>
      </w:r>
      <w:r w:rsidRPr="00CC14FA">
        <w:rPr>
          <w:rFonts w:ascii="Times New Roman" w:hAnsi="Times New Roman" w:cs="Times New Roman"/>
          <w:sz w:val="24"/>
        </w:rPr>
        <w:t xml:space="preserve">“Klinik </w:t>
      </w:r>
      <w:proofErr w:type="spellStart"/>
      <w:r w:rsidRPr="00CC14FA">
        <w:rPr>
          <w:rFonts w:ascii="Times New Roman" w:hAnsi="Times New Roman" w:cs="Times New Roman"/>
          <w:sz w:val="24"/>
        </w:rPr>
        <w:t>Anatomi’nin</w:t>
      </w:r>
      <w:proofErr w:type="spellEnd"/>
      <w:r w:rsidRPr="00CC14FA">
        <w:rPr>
          <w:rFonts w:ascii="Times New Roman" w:hAnsi="Times New Roman" w:cs="Times New Roman"/>
          <w:sz w:val="24"/>
        </w:rPr>
        <w:t xml:space="preserve"> ileriki hekimlik yaşantınızda size herhangi bir katkı sağlayacağını düşünüyor musunuz?” sorusuna öğrencilerinin yanıtları</w:t>
      </w:r>
    </w:p>
    <w:p w:rsidR="00CC14FA" w:rsidRDefault="00CC14FA" w:rsidP="00D6375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24C18" w:rsidRDefault="00F24C18" w:rsidP="00D6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A43D2" w:rsidRDefault="006A43D2" w:rsidP="00D637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A43D2">
        <w:rPr>
          <w:rFonts w:ascii="Times New Roman" w:hAnsi="Times New Roman" w:cs="Times New Roman"/>
          <w:b/>
          <w:bCs/>
          <w:sz w:val="24"/>
        </w:rPr>
        <w:t>Tartışma</w:t>
      </w:r>
    </w:p>
    <w:p w:rsidR="00F24C18" w:rsidRDefault="00CA4181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Anatomi tıbbın temel </w:t>
      </w:r>
      <w:r w:rsidR="00B30B42">
        <w:rPr>
          <w:rFonts w:ascii="Times New Roman" w:hAnsi="Times New Roman" w:cs="Times New Roman"/>
          <w:sz w:val="24"/>
          <w:szCs w:val="24"/>
        </w:rPr>
        <w:t>taşlarından</w:t>
      </w:r>
      <w:r>
        <w:rPr>
          <w:rFonts w:ascii="Times New Roman" w:hAnsi="Times New Roman" w:cs="Times New Roman"/>
          <w:sz w:val="24"/>
          <w:szCs w:val="24"/>
        </w:rPr>
        <w:t xml:space="preserve"> biridir</w:t>
      </w:r>
      <w:r w:rsidR="00884813">
        <w:rPr>
          <w:rFonts w:ascii="Times New Roman" w:hAnsi="Times New Roman" w:cs="Times New Roman"/>
          <w:sz w:val="24"/>
          <w:szCs w:val="24"/>
        </w:rPr>
        <w:t>. Klinikte bir hastanın hastalığının anlaşılabilmesi için anatomi bilgisi şarttır</w:t>
      </w:r>
      <w:r w:rsidR="00FD4F1E">
        <w:rPr>
          <w:rFonts w:ascii="Times New Roman" w:hAnsi="Times New Roman" w:cs="Times New Roman"/>
          <w:sz w:val="24"/>
          <w:szCs w:val="24"/>
        </w:rPr>
        <w:t xml:space="preserve"> (</w:t>
      </w:r>
      <w:r w:rsidRPr="00FD4F1E">
        <w:rPr>
          <w:rFonts w:ascii="Times New Roman" w:hAnsi="Times New Roman" w:cs="Times New Roman"/>
          <w:sz w:val="24"/>
          <w:szCs w:val="24"/>
        </w:rPr>
        <w:t>1</w:t>
      </w:r>
      <w:r w:rsidR="00482DB9">
        <w:rPr>
          <w:rFonts w:ascii="Times New Roman" w:hAnsi="Times New Roman" w:cs="Times New Roman"/>
          <w:sz w:val="24"/>
          <w:szCs w:val="24"/>
        </w:rPr>
        <w:t>,2</w:t>
      </w:r>
      <w:r w:rsidR="00FD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6E84" w:rsidRPr="00376E84">
        <w:rPr>
          <w:rFonts w:ascii="Times New Roman" w:hAnsi="Times New Roman" w:cs="Times New Roman"/>
          <w:sz w:val="24"/>
          <w:szCs w:val="24"/>
        </w:rPr>
        <w:t>Anatomi görsel bir bilim dalı olarak tıp fakültelerinin temel tıp bilimleri eğitim öğretim programları içerisinde oldukça önemli bir yer teşkil etmektedir</w:t>
      </w:r>
      <w:r w:rsidR="007C3164">
        <w:rPr>
          <w:rFonts w:ascii="Times New Roman" w:hAnsi="Times New Roman" w:cs="Times New Roman"/>
          <w:sz w:val="24"/>
          <w:szCs w:val="24"/>
        </w:rPr>
        <w:t>. Son yıllarda klasik anatomi ders kitapları içerisinde radyolojik görüntülere ve klinik anatomik problemlere sıkça yer verilmektedir</w:t>
      </w:r>
      <w:r w:rsidR="00FD4F1E">
        <w:rPr>
          <w:rFonts w:ascii="Times New Roman" w:hAnsi="Times New Roman" w:cs="Times New Roman"/>
          <w:sz w:val="24"/>
          <w:szCs w:val="24"/>
        </w:rPr>
        <w:t xml:space="preserve"> (</w:t>
      </w:r>
      <w:r w:rsidR="00376E84" w:rsidRPr="00FD4F1E">
        <w:rPr>
          <w:rFonts w:ascii="Times New Roman" w:hAnsi="Times New Roman" w:cs="Times New Roman"/>
          <w:sz w:val="24"/>
          <w:szCs w:val="24"/>
        </w:rPr>
        <w:t>1</w:t>
      </w:r>
      <w:r w:rsidR="007C3164" w:rsidRPr="00FD4F1E">
        <w:rPr>
          <w:rFonts w:ascii="Times New Roman" w:hAnsi="Times New Roman" w:cs="Times New Roman"/>
          <w:sz w:val="24"/>
          <w:szCs w:val="24"/>
        </w:rPr>
        <w:t>,3</w:t>
      </w:r>
      <w:r w:rsidR="00FD4F1E">
        <w:rPr>
          <w:rFonts w:ascii="Times New Roman" w:hAnsi="Times New Roman" w:cs="Times New Roman"/>
          <w:sz w:val="24"/>
          <w:szCs w:val="24"/>
        </w:rPr>
        <w:t>)</w:t>
      </w:r>
      <w:r w:rsidR="00376E84" w:rsidRPr="00376E84">
        <w:rPr>
          <w:rFonts w:ascii="Times New Roman" w:hAnsi="Times New Roman" w:cs="Times New Roman"/>
          <w:sz w:val="24"/>
          <w:szCs w:val="24"/>
        </w:rPr>
        <w:t xml:space="preserve">. </w:t>
      </w:r>
      <w:r w:rsidR="00376E84">
        <w:rPr>
          <w:rFonts w:ascii="Times New Roman" w:hAnsi="Times New Roman" w:cs="Times New Roman"/>
          <w:sz w:val="24"/>
          <w:szCs w:val="24"/>
        </w:rPr>
        <w:t xml:space="preserve">Bu görüşten yola çıkılarak Radyolojik ve Klinik Anatominin eğitimdeki yeri </w:t>
      </w:r>
      <w:r w:rsidR="00CB00BB">
        <w:rPr>
          <w:rFonts w:ascii="Times New Roman" w:hAnsi="Times New Roman" w:cs="Times New Roman"/>
          <w:sz w:val="24"/>
          <w:szCs w:val="24"/>
        </w:rPr>
        <w:t xml:space="preserve">ve gerekli olup olmadığı </w:t>
      </w:r>
      <w:r w:rsidR="00376E84">
        <w:rPr>
          <w:rFonts w:ascii="Times New Roman" w:hAnsi="Times New Roman" w:cs="Times New Roman"/>
          <w:sz w:val="24"/>
          <w:szCs w:val="24"/>
        </w:rPr>
        <w:t xml:space="preserve">sorgulanmaya çalışılmıştır. </w:t>
      </w:r>
    </w:p>
    <w:p w:rsidR="00B81399" w:rsidRDefault="00B81399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Torres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ve ark.</w:t>
      </w:r>
      <w:r w:rsidR="00FD4F1E">
        <w:rPr>
          <w:rFonts w:ascii="Times New Roman" w:hAnsi="Times New Roman" w:cs="Times New Roman"/>
          <w:sz w:val="24"/>
          <w:szCs w:val="20"/>
        </w:rPr>
        <w:t xml:space="preserve"> (</w:t>
      </w:r>
      <w:r w:rsidR="00914A40">
        <w:rPr>
          <w:rFonts w:ascii="Times New Roman" w:hAnsi="Times New Roman" w:cs="Times New Roman"/>
          <w:sz w:val="24"/>
          <w:szCs w:val="20"/>
        </w:rPr>
        <w:t>12</w:t>
      </w:r>
      <w:r w:rsidR="00FD4F1E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 xml:space="preserve">, yaşları 23-25 arasında değişen 273 Tıp öğrencisine </w:t>
      </w:r>
      <w:proofErr w:type="spellStart"/>
      <w:r>
        <w:rPr>
          <w:rFonts w:ascii="Times New Roman" w:hAnsi="Times New Roman" w:cs="Times New Roman"/>
          <w:sz w:val="24"/>
          <w:szCs w:val="20"/>
        </w:rPr>
        <w:t>kesitsel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radyolojik anatomi kursu düzenlemişlerdir. Kurs öncesi ve kurs sonrasında 20 sorudan oluşan anket uygulamışlardır. Kurs öncesi başarı oranı %56,2 iken, kurs sonrası başarı oranı %75 olarak saptanmıştır. Yine kurs sonrasında öğrencilerin %92’si kursun anatomik ve </w:t>
      </w:r>
      <w:proofErr w:type="spellStart"/>
      <w:r>
        <w:rPr>
          <w:rFonts w:ascii="Times New Roman" w:hAnsi="Times New Roman" w:cs="Times New Roman"/>
          <w:sz w:val="24"/>
          <w:szCs w:val="20"/>
        </w:rPr>
        <w:t>topografik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yapıları öğrenmede daha faydalı olduğunu, %90’ı anatomik bilgilerinin geliştiğini, %92’si bu bilgilerin gelecekte kendilerine faydalı olacağını belirtmişlerdir. </w:t>
      </w:r>
      <w:proofErr w:type="spellStart"/>
      <w:r>
        <w:rPr>
          <w:rFonts w:ascii="Times New Roman" w:hAnsi="Times New Roman" w:cs="Times New Roman"/>
          <w:sz w:val="24"/>
          <w:szCs w:val="20"/>
        </w:rPr>
        <w:t>Moscova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ve ark.</w:t>
      </w:r>
      <w:r w:rsidR="002F070E">
        <w:rPr>
          <w:rFonts w:ascii="Times New Roman" w:hAnsi="Times New Roman" w:cs="Times New Roman"/>
          <w:sz w:val="24"/>
          <w:szCs w:val="20"/>
        </w:rPr>
        <w:t xml:space="preserve"> (</w:t>
      </w:r>
      <w:r w:rsidR="00914A40">
        <w:rPr>
          <w:rFonts w:ascii="Times New Roman" w:hAnsi="Times New Roman" w:cs="Times New Roman"/>
          <w:sz w:val="24"/>
          <w:szCs w:val="20"/>
        </w:rPr>
        <w:t>9</w:t>
      </w:r>
      <w:r w:rsidR="002F070E"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0"/>
        </w:rPr>
        <w:t xml:space="preserve"> ise 1. ve 2. </w:t>
      </w:r>
      <w:r w:rsidR="00295885">
        <w:rPr>
          <w:rFonts w:ascii="Times New Roman" w:hAnsi="Times New Roman" w:cs="Times New Roman"/>
          <w:sz w:val="24"/>
          <w:szCs w:val="20"/>
        </w:rPr>
        <w:t>s</w:t>
      </w:r>
      <w:r>
        <w:rPr>
          <w:rFonts w:ascii="Times New Roman" w:hAnsi="Times New Roman" w:cs="Times New Roman"/>
          <w:sz w:val="24"/>
          <w:szCs w:val="20"/>
        </w:rPr>
        <w:t>ınıf öğrencilerine radyolojik anatomi (radyografi, ultrason</w:t>
      </w:r>
      <w:r w:rsidR="002F070E">
        <w:rPr>
          <w:rFonts w:ascii="Times New Roman" w:hAnsi="Times New Roman" w:cs="Times New Roman"/>
          <w:sz w:val="24"/>
          <w:szCs w:val="20"/>
        </w:rPr>
        <w:t>ografi</w:t>
      </w:r>
      <w:r>
        <w:rPr>
          <w:rFonts w:ascii="Times New Roman" w:hAnsi="Times New Roman" w:cs="Times New Roman"/>
          <w:sz w:val="24"/>
          <w:szCs w:val="20"/>
        </w:rPr>
        <w:t xml:space="preserve">, BT ve MR) dersleri düzenlemiş ve ders sonunda uyguladıkları ankette öğrencilerin %48-63’ünün dersleri anlamada artış olduğunu, %72-77’sinin </w:t>
      </w:r>
      <w:proofErr w:type="spellStart"/>
      <w:r>
        <w:rPr>
          <w:rFonts w:ascii="Times New Roman" w:hAnsi="Times New Roman" w:cs="Times New Roman"/>
          <w:sz w:val="24"/>
          <w:szCs w:val="20"/>
        </w:rPr>
        <w:t>kesitsel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anatominin anatomik bilgileri öğrenmelerini kolaylaştırdığını ve %76-80’inin ise bu bilgileri ileriki yaşamlarında da kullanabileceklerini ifade etmişlerdir. Benzer şekilde </w:t>
      </w:r>
      <w:proofErr w:type="spellStart"/>
      <w:r w:rsidR="00D4097C">
        <w:rPr>
          <w:rFonts w:ascii="Times New Roman" w:hAnsi="Times New Roman" w:cs="Times New Roman"/>
          <w:sz w:val="24"/>
          <w:szCs w:val="24"/>
        </w:rPr>
        <w:t>Hammoudi</w:t>
      </w:r>
      <w:proofErr w:type="spellEnd"/>
      <w:r w:rsidR="00D4097C">
        <w:rPr>
          <w:rFonts w:ascii="Times New Roman" w:hAnsi="Times New Roman" w:cs="Times New Roman"/>
          <w:sz w:val="24"/>
          <w:szCs w:val="24"/>
        </w:rPr>
        <w:t xml:space="preserve"> ve ark.</w:t>
      </w:r>
      <w:r w:rsidR="002F070E">
        <w:rPr>
          <w:rFonts w:ascii="Times New Roman" w:hAnsi="Times New Roman" w:cs="Times New Roman"/>
          <w:sz w:val="24"/>
          <w:szCs w:val="24"/>
        </w:rPr>
        <w:t xml:space="preserve"> (</w:t>
      </w:r>
      <w:r w:rsidR="009349E4">
        <w:rPr>
          <w:rFonts w:ascii="Times New Roman" w:hAnsi="Times New Roman" w:cs="Times New Roman"/>
          <w:sz w:val="24"/>
          <w:szCs w:val="24"/>
        </w:rPr>
        <w:t>4</w:t>
      </w:r>
      <w:r w:rsidR="002F070E">
        <w:rPr>
          <w:rFonts w:ascii="Times New Roman" w:hAnsi="Times New Roman" w:cs="Times New Roman"/>
          <w:sz w:val="24"/>
          <w:szCs w:val="24"/>
        </w:rPr>
        <w:t>)</w:t>
      </w:r>
      <w:r w:rsidR="00D4097C">
        <w:rPr>
          <w:rFonts w:ascii="Times New Roman" w:hAnsi="Times New Roman" w:cs="Times New Roman"/>
          <w:sz w:val="24"/>
          <w:szCs w:val="24"/>
        </w:rPr>
        <w:t xml:space="preserve">, 330 2.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 w:rsidR="00D4097C">
        <w:rPr>
          <w:rFonts w:ascii="Times New Roman" w:hAnsi="Times New Roman" w:cs="Times New Roman"/>
          <w:sz w:val="24"/>
          <w:szCs w:val="24"/>
        </w:rPr>
        <w:t xml:space="preserve">ınıf öğrencisine </w:t>
      </w:r>
      <w:proofErr w:type="gramStart"/>
      <w:r w:rsidR="00D4097C">
        <w:rPr>
          <w:rFonts w:ascii="Times New Roman" w:hAnsi="Times New Roman" w:cs="Times New Roman"/>
          <w:sz w:val="24"/>
          <w:szCs w:val="24"/>
        </w:rPr>
        <w:t>ultrason</w:t>
      </w:r>
      <w:proofErr w:type="gramEnd"/>
      <w:r w:rsidR="00D4097C">
        <w:rPr>
          <w:rFonts w:ascii="Times New Roman" w:hAnsi="Times New Roman" w:cs="Times New Roman"/>
          <w:sz w:val="24"/>
          <w:szCs w:val="24"/>
        </w:rPr>
        <w:t xml:space="preserve"> kullanarak </w:t>
      </w:r>
      <w:proofErr w:type="spellStart"/>
      <w:r w:rsidR="00D4097C">
        <w:rPr>
          <w:rFonts w:ascii="Times New Roman" w:hAnsi="Times New Roman" w:cs="Times New Roman"/>
          <w:sz w:val="24"/>
          <w:szCs w:val="24"/>
        </w:rPr>
        <w:t>kardiak</w:t>
      </w:r>
      <w:proofErr w:type="spellEnd"/>
      <w:r w:rsidR="00D4097C">
        <w:rPr>
          <w:rFonts w:ascii="Times New Roman" w:hAnsi="Times New Roman" w:cs="Times New Roman"/>
          <w:sz w:val="24"/>
          <w:szCs w:val="24"/>
        </w:rPr>
        <w:t xml:space="preserve"> anatomi ve fizyoloji kursu düzenlemişlerdir. Kurs bitiminde uygulanan ankette öğrencilerin % 95’i kursun bilgi düzeylerine katkı sağladığını ve </w:t>
      </w:r>
      <w:proofErr w:type="gramStart"/>
      <w:r w:rsidR="00D4097C">
        <w:rPr>
          <w:rFonts w:ascii="Times New Roman" w:hAnsi="Times New Roman" w:cs="Times New Roman"/>
          <w:sz w:val="24"/>
          <w:szCs w:val="24"/>
        </w:rPr>
        <w:t>motivasyonlarını</w:t>
      </w:r>
      <w:proofErr w:type="gramEnd"/>
      <w:r w:rsidR="00D4097C">
        <w:rPr>
          <w:rFonts w:ascii="Times New Roman" w:hAnsi="Times New Roman" w:cs="Times New Roman"/>
          <w:sz w:val="24"/>
          <w:szCs w:val="24"/>
        </w:rPr>
        <w:t xml:space="preserve"> arttırdığını belirtmişlerdir. </w:t>
      </w:r>
      <w:r w:rsidRPr="009A4118">
        <w:rPr>
          <w:rFonts w:ascii="Times New Roman" w:hAnsi="Times New Roman" w:cs="Times New Roman"/>
          <w:sz w:val="24"/>
          <w:szCs w:val="20"/>
        </w:rPr>
        <w:t>Acuner ve ark.’</w:t>
      </w:r>
      <w:proofErr w:type="spellStart"/>
      <w:r w:rsidRPr="009A4118">
        <w:rPr>
          <w:rFonts w:ascii="Times New Roman" w:hAnsi="Times New Roman" w:cs="Times New Roman"/>
          <w:sz w:val="24"/>
          <w:szCs w:val="20"/>
        </w:rPr>
        <w:t>nın</w:t>
      </w:r>
      <w:proofErr w:type="spellEnd"/>
      <w:r w:rsidR="002F070E">
        <w:rPr>
          <w:rFonts w:ascii="Times New Roman" w:hAnsi="Times New Roman" w:cs="Times New Roman"/>
          <w:sz w:val="24"/>
          <w:szCs w:val="20"/>
        </w:rPr>
        <w:t xml:space="preserve"> (</w:t>
      </w:r>
      <w:r w:rsidR="00E662BC">
        <w:rPr>
          <w:rFonts w:ascii="Times New Roman" w:hAnsi="Times New Roman" w:cs="Times New Roman"/>
          <w:sz w:val="24"/>
          <w:szCs w:val="20"/>
        </w:rPr>
        <w:t>8</w:t>
      </w:r>
      <w:r w:rsidR="002F070E">
        <w:rPr>
          <w:rFonts w:ascii="Times New Roman" w:hAnsi="Times New Roman" w:cs="Times New Roman"/>
          <w:sz w:val="24"/>
          <w:szCs w:val="20"/>
        </w:rPr>
        <w:t>)</w:t>
      </w:r>
      <w:r w:rsidRPr="009A4118">
        <w:rPr>
          <w:rFonts w:ascii="Times New Roman" w:hAnsi="Times New Roman" w:cs="Times New Roman"/>
          <w:sz w:val="16"/>
          <w:szCs w:val="13"/>
        </w:rPr>
        <w:t xml:space="preserve"> </w:t>
      </w:r>
      <w:r w:rsidRPr="009A4118">
        <w:rPr>
          <w:rFonts w:ascii="Times New Roman" w:hAnsi="Times New Roman" w:cs="Times New Roman"/>
          <w:sz w:val="24"/>
          <w:szCs w:val="20"/>
        </w:rPr>
        <w:t xml:space="preserve">yaptıkları anket çalışmasında öğrencilerin </w:t>
      </w:r>
      <w:r w:rsidRPr="003E0FEA">
        <w:rPr>
          <w:rFonts w:ascii="Times New Roman" w:hAnsi="Times New Roman" w:cs="Times New Roman"/>
          <w:sz w:val="24"/>
          <w:szCs w:val="24"/>
        </w:rPr>
        <w:t>% 77.43'ü ise uygulanmakta olan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A">
        <w:rPr>
          <w:rFonts w:ascii="Times New Roman" w:hAnsi="Times New Roman" w:cs="Times New Roman"/>
          <w:sz w:val="24"/>
          <w:szCs w:val="24"/>
        </w:rPr>
        <w:t xml:space="preserve">sırasıyla klinik anatomi, </w:t>
      </w:r>
      <w:proofErr w:type="spellStart"/>
      <w:r w:rsidRPr="003E0FEA">
        <w:rPr>
          <w:rFonts w:ascii="Times New Roman" w:hAnsi="Times New Roman" w:cs="Times New Roman"/>
          <w:sz w:val="24"/>
          <w:szCs w:val="24"/>
        </w:rPr>
        <w:t>kesitsel</w:t>
      </w:r>
      <w:proofErr w:type="spellEnd"/>
      <w:r w:rsidRPr="003E0FEA">
        <w:rPr>
          <w:rFonts w:ascii="Times New Roman" w:hAnsi="Times New Roman" w:cs="Times New Roman"/>
          <w:sz w:val="24"/>
          <w:szCs w:val="24"/>
        </w:rPr>
        <w:t xml:space="preserve"> anatomi (CT ve MRI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A">
        <w:rPr>
          <w:rFonts w:ascii="Times New Roman" w:hAnsi="Times New Roman" w:cs="Times New Roman"/>
          <w:sz w:val="24"/>
          <w:szCs w:val="24"/>
        </w:rPr>
        <w:t>gibi güncel görüntüleme yöntemlerinden de yararlanacak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A">
        <w:rPr>
          <w:rFonts w:ascii="Times New Roman" w:hAnsi="Times New Roman" w:cs="Times New Roman"/>
          <w:sz w:val="24"/>
          <w:szCs w:val="24"/>
        </w:rPr>
        <w:t xml:space="preserve">biçimde) ve radyolojik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0FEA">
        <w:rPr>
          <w:rFonts w:ascii="Times New Roman" w:hAnsi="Times New Roman" w:cs="Times New Roman"/>
          <w:sz w:val="24"/>
          <w:szCs w:val="24"/>
        </w:rPr>
        <w:t>natomi konularının eklenmesi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A">
        <w:rPr>
          <w:rFonts w:ascii="Times New Roman" w:hAnsi="Times New Roman" w:cs="Times New Roman"/>
          <w:sz w:val="24"/>
          <w:szCs w:val="24"/>
        </w:rPr>
        <w:t>yönünde görüş belirtmişlerdir.</w:t>
      </w:r>
      <w:r>
        <w:rPr>
          <w:rFonts w:ascii="Times New Roman" w:hAnsi="Times New Roman" w:cs="Times New Roman"/>
          <w:sz w:val="24"/>
          <w:szCs w:val="24"/>
        </w:rPr>
        <w:t xml:space="preserve"> Yukarıdaki dört çalışmadan da anlaşılacağı üzere, öğrencilere değişik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anatomi kursu ve/veya bilgisi </w:t>
      </w:r>
      <w:r w:rsidR="00A418B4">
        <w:rPr>
          <w:rFonts w:ascii="Times New Roman" w:hAnsi="Times New Roman" w:cs="Times New Roman"/>
          <w:sz w:val="24"/>
          <w:szCs w:val="24"/>
        </w:rPr>
        <w:t>verilmiş</w:t>
      </w:r>
      <w:r>
        <w:rPr>
          <w:rFonts w:ascii="Times New Roman" w:hAnsi="Times New Roman" w:cs="Times New Roman"/>
          <w:sz w:val="24"/>
          <w:szCs w:val="24"/>
        </w:rPr>
        <w:t xml:space="preserve"> olup, öğrenciler</w:t>
      </w:r>
      <w:r w:rsidR="00A418B4">
        <w:rPr>
          <w:rFonts w:ascii="Times New Roman" w:hAnsi="Times New Roman" w:cs="Times New Roman"/>
          <w:sz w:val="24"/>
          <w:szCs w:val="24"/>
        </w:rPr>
        <w:t xml:space="preserve">in bu bilgileri daha kolay anladıkları, </w:t>
      </w:r>
      <w:proofErr w:type="gramStart"/>
      <w:r w:rsidR="00A418B4">
        <w:rPr>
          <w:rFonts w:ascii="Times New Roman" w:hAnsi="Times New Roman" w:cs="Times New Roman"/>
          <w:sz w:val="24"/>
          <w:szCs w:val="24"/>
        </w:rPr>
        <w:t>motivasyonlarının</w:t>
      </w:r>
      <w:proofErr w:type="gramEnd"/>
      <w:r w:rsidR="00A418B4">
        <w:rPr>
          <w:rFonts w:ascii="Times New Roman" w:hAnsi="Times New Roman" w:cs="Times New Roman"/>
          <w:sz w:val="24"/>
          <w:szCs w:val="24"/>
        </w:rPr>
        <w:t xml:space="preserve"> arttığını ve ileriki hekimlik yaşamlarında bu bilgileri kullanabilecekleri dile getirilmiştir. Bizim çalışmamızda ya benzer sonuçlar elde edilmiştir. </w:t>
      </w:r>
      <w:r w:rsidR="00CD4933">
        <w:rPr>
          <w:rFonts w:ascii="Times New Roman" w:hAnsi="Times New Roman" w:cs="Times New Roman"/>
          <w:sz w:val="24"/>
          <w:szCs w:val="24"/>
        </w:rPr>
        <w:t>Grafik</w:t>
      </w:r>
      <w:r w:rsidR="00CD4933" w:rsidRPr="00F06A4F">
        <w:rPr>
          <w:rFonts w:ascii="Times New Roman" w:hAnsi="Times New Roman" w:cs="Times New Roman"/>
          <w:sz w:val="24"/>
          <w:szCs w:val="24"/>
        </w:rPr>
        <w:t xml:space="preserve"> 1</w:t>
      </w:r>
      <w:r w:rsidR="00CD4933">
        <w:rPr>
          <w:rFonts w:ascii="Times New Roman" w:hAnsi="Times New Roman" w:cs="Times New Roman"/>
          <w:sz w:val="24"/>
          <w:szCs w:val="24"/>
        </w:rPr>
        <w:t xml:space="preserve"> ve 2</w:t>
      </w:r>
      <w:r w:rsidR="00CD4933" w:rsidRPr="00F06A4F">
        <w:rPr>
          <w:rFonts w:ascii="Times New Roman" w:hAnsi="Times New Roman" w:cs="Times New Roman"/>
          <w:sz w:val="24"/>
          <w:szCs w:val="24"/>
        </w:rPr>
        <w:t xml:space="preserve">’den de anlaşılacağı gibi sınıf büyüdükçe, </w:t>
      </w:r>
      <w:r w:rsidR="00CD4933" w:rsidRPr="00F06A4F">
        <w:rPr>
          <w:rFonts w:ascii="Times New Roman" w:hAnsi="Times New Roman" w:cs="Times New Roman"/>
          <w:sz w:val="24"/>
          <w:szCs w:val="24"/>
        </w:rPr>
        <w:lastRenderedPageBreak/>
        <w:t>diğer bir deyişle bilinç düzeyi yükseldikçe “Evet” cevabını verenlerin oranı artmakta, “Hayır” ve “Fikrim yok” cevabını verenlerin oranı düşmektedir.</w:t>
      </w:r>
      <w:r w:rsidR="00CD4933">
        <w:rPr>
          <w:rFonts w:ascii="Times New Roman" w:hAnsi="Times New Roman" w:cs="Times New Roman"/>
          <w:sz w:val="24"/>
          <w:szCs w:val="24"/>
        </w:rPr>
        <w:t xml:space="preserve"> “Sizce Radyolojik anatomi dersi olmalı mıdır?” sorusuna 2. sınıf öğrencilerinin diğer sınıflara oranla daha düşük çıkmasının nedeninin, 2.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 w:rsidR="00CD4933">
        <w:rPr>
          <w:rFonts w:ascii="Times New Roman" w:hAnsi="Times New Roman" w:cs="Times New Roman"/>
          <w:sz w:val="24"/>
          <w:szCs w:val="24"/>
        </w:rPr>
        <w:t xml:space="preserve">ınıf öğrencilerinin radyolojik görüntülere aşina olmamalarından kaynaklanabileceğini düşünmekteyiz. Öğrencilerin geri bildirim formlarında da </w:t>
      </w:r>
      <w:proofErr w:type="spellStart"/>
      <w:r w:rsidR="00CD4933">
        <w:rPr>
          <w:rFonts w:ascii="Times New Roman" w:hAnsi="Times New Roman" w:cs="Times New Roman"/>
          <w:sz w:val="24"/>
          <w:szCs w:val="24"/>
        </w:rPr>
        <w:t>kesitsel</w:t>
      </w:r>
      <w:proofErr w:type="spellEnd"/>
      <w:r w:rsidR="00CD4933">
        <w:rPr>
          <w:rFonts w:ascii="Times New Roman" w:hAnsi="Times New Roman" w:cs="Times New Roman"/>
          <w:sz w:val="24"/>
          <w:szCs w:val="24"/>
        </w:rPr>
        <w:t xml:space="preserve"> anatomiyi anlamakta biraz zorluk çektikleri, ancak organların komşuluklarını daha kolay kavradıklarını belirtmişlerdir. </w:t>
      </w:r>
      <w:r w:rsidR="00A36227">
        <w:rPr>
          <w:rFonts w:ascii="Times New Roman" w:hAnsi="Times New Roman" w:cs="Times New Roman"/>
          <w:sz w:val="24"/>
          <w:szCs w:val="24"/>
        </w:rPr>
        <w:t xml:space="preserve">Radyolojik anatominin hem </w:t>
      </w:r>
      <w:proofErr w:type="spellStart"/>
      <w:r w:rsidR="00A36227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="00A36227">
        <w:rPr>
          <w:rFonts w:ascii="Times New Roman" w:hAnsi="Times New Roman" w:cs="Times New Roman"/>
          <w:sz w:val="24"/>
          <w:szCs w:val="24"/>
        </w:rPr>
        <w:t xml:space="preserve">, hem de klinik dönemlerde anlatılmasını isteyen öğrenci sayısı ile bu dersten herhangi bir fayda gördüklerini belirten öğrenci sayısı, 2.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 w:rsidR="00A36227">
        <w:rPr>
          <w:rFonts w:ascii="Times New Roman" w:hAnsi="Times New Roman" w:cs="Times New Roman"/>
          <w:sz w:val="24"/>
          <w:szCs w:val="24"/>
        </w:rPr>
        <w:t xml:space="preserve">ınıftan 6.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 w:rsidR="00A36227">
        <w:rPr>
          <w:rFonts w:ascii="Times New Roman" w:hAnsi="Times New Roman" w:cs="Times New Roman"/>
          <w:sz w:val="24"/>
          <w:szCs w:val="24"/>
        </w:rPr>
        <w:t xml:space="preserve">ınıfa doğru artış göstermektedir. </w:t>
      </w:r>
      <w:r w:rsidR="00CD4933">
        <w:rPr>
          <w:rFonts w:ascii="Times New Roman" w:hAnsi="Times New Roman" w:cs="Times New Roman"/>
          <w:sz w:val="24"/>
          <w:szCs w:val="24"/>
        </w:rPr>
        <w:t>Özellikle klinik dönem öğrencileri, yani 4</w:t>
      </w:r>
      <w:proofErr w:type="gramStart"/>
      <w:r w:rsidR="00CD493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D4933">
        <w:rPr>
          <w:rFonts w:ascii="Times New Roman" w:hAnsi="Times New Roman" w:cs="Times New Roman"/>
          <w:sz w:val="24"/>
          <w:szCs w:val="24"/>
        </w:rPr>
        <w:t xml:space="preserve"> 5. ve 6.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 w:rsidR="00CD4933">
        <w:rPr>
          <w:rFonts w:ascii="Times New Roman" w:hAnsi="Times New Roman" w:cs="Times New Roman"/>
          <w:sz w:val="24"/>
          <w:szCs w:val="24"/>
        </w:rPr>
        <w:t xml:space="preserve">ınıf öğrencileri bu dersin klinik stajlar döneminde tekrarının daha faydalı olacağı görüşünde oldukları görülmektedir. </w:t>
      </w:r>
      <w:r w:rsidR="00D31BCF">
        <w:rPr>
          <w:rFonts w:ascii="Times New Roman" w:hAnsi="Times New Roman" w:cs="Times New Roman"/>
          <w:sz w:val="24"/>
          <w:szCs w:val="24"/>
        </w:rPr>
        <w:t xml:space="preserve">Yine radyolojik </w:t>
      </w:r>
      <w:proofErr w:type="spellStart"/>
      <w:r w:rsidR="00D31BCF">
        <w:rPr>
          <w:rFonts w:ascii="Times New Roman" w:hAnsi="Times New Roman" w:cs="Times New Roman"/>
          <w:sz w:val="24"/>
          <w:szCs w:val="24"/>
        </w:rPr>
        <w:t>anatomi’nin</w:t>
      </w:r>
      <w:proofErr w:type="spellEnd"/>
      <w:r w:rsidR="00D31BCF">
        <w:rPr>
          <w:rFonts w:ascii="Times New Roman" w:hAnsi="Times New Roman" w:cs="Times New Roman"/>
          <w:sz w:val="24"/>
          <w:szCs w:val="24"/>
        </w:rPr>
        <w:t xml:space="preserve"> ileriki hekimlik yaşantılarında katkı sağlayacağını düşünenlerin oranı 2. sınıfta %80.43, 4. sınıfta %69.23, 5. sınıfta %85.86 ve 6. sınıfta %87.69 olarak belirlenmiştir. </w:t>
      </w:r>
      <w:r w:rsidR="000832B4">
        <w:rPr>
          <w:rFonts w:ascii="Times New Roman" w:hAnsi="Times New Roman" w:cs="Times New Roman"/>
          <w:sz w:val="24"/>
          <w:szCs w:val="24"/>
        </w:rPr>
        <w:t xml:space="preserve">Dördüncü sınıf öğrencilerinde oranın diğer sınıflardan daha düşük çıkması ilginçtir. </w:t>
      </w:r>
      <w:r w:rsidR="00D31BCF">
        <w:rPr>
          <w:rFonts w:ascii="Times New Roman" w:hAnsi="Times New Roman" w:cs="Times New Roman"/>
          <w:sz w:val="24"/>
          <w:szCs w:val="24"/>
        </w:rPr>
        <w:t xml:space="preserve">Bu </w:t>
      </w:r>
      <w:r w:rsidR="000832B4">
        <w:rPr>
          <w:rFonts w:ascii="Times New Roman" w:hAnsi="Times New Roman" w:cs="Times New Roman"/>
          <w:sz w:val="24"/>
          <w:szCs w:val="24"/>
        </w:rPr>
        <w:t xml:space="preserve">sonuç, öğrencilerin henüz radyoloji stajı yapmamış olmaları bağlı olabilir. </w:t>
      </w:r>
      <w:r w:rsidR="00A36227">
        <w:rPr>
          <w:rFonts w:ascii="Times New Roman" w:hAnsi="Times New Roman" w:cs="Times New Roman"/>
          <w:sz w:val="24"/>
          <w:szCs w:val="24"/>
        </w:rPr>
        <w:t>Bulgular</w:t>
      </w:r>
      <w:r w:rsidR="00D31BCF">
        <w:rPr>
          <w:rFonts w:ascii="Times New Roman" w:hAnsi="Times New Roman" w:cs="Times New Roman"/>
          <w:sz w:val="24"/>
          <w:szCs w:val="24"/>
        </w:rPr>
        <w:t>ımız</w:t>
      </w:r>
      <w:r w:rsidR="00A3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27">
        <w:rPr>
          <w:rFonts w:ascii="Times New Roman" w:hAnsi="Times New Roman" w:cs="Times New Roman"/>
          <w:sz w:val="24"/>
          <w:szCs w:val="24"/>
        </w:rPr>
        <w:t>literatürdeki</w:t>
      </w:r>
      <w:proofErr w:type="gramEnd"/>
      <w:r w:rsidR="00A36227">
        <w:rPr>
          <w:rFonts w:ascii="Times New Roman" w:hAnsi="Times New Roman" w:cs="Times New Roman"/>
          <w:sz w:val="24"/>
          <w:szCs w:val="24"/>
        </w:rPr>
        <w:t xml:space="preserve"> benzer araştırmalar ile uyumludur. </w:t>
      </w:r>
    </w:p>
    <w:p w:rsidR="00CA21AD" w:rsidRDefault="00D4097C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Uygur ve ark.</w:t>
      </w:r>
      <w:r w:rsidR="002F070E">
        <w:rPr>
          <w:rFonts w:ascii="Times New Roman" w:hAnsi="Times New Roman" w:cs="Times New Roman"/>
          <w:sz w:val="24"/>
          <w:szCs w:val="24"/>
        </w:rPr>
        <w:t xml:space="preserve"> (</w:t>
      </w:r>
      <w:r w:rsidR="003710B4">
        <w:rPr>
          <w:rFonts w:ascii="Times New Roman" w:hAnsi="Times New Roman" w:cs="Times New Roman"/>
          <w:sz w:val="24"/>
          <w:szCs w:val="24"/>
        </w:rPr>
        <w:t>5</w:t>
      </w:r>
      <w:r w:rsidR="002F07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2. </w:t>
      </w:r>
      <w:r w:rsidR="002958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ınıfta öğrenim gören 79 öğrencinin katıldığı ankette öğrencilerin %87,3’ünün “anatomi dersi klinikte nelerle karşılaşabileceğimiz konusunda fikir verdi”, %91,1’i “anatomi dersi içeriğinde kliniğe daha fazla yer verilmeli ve “anatomi dersi içerisinde radyolojik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kesitsel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anatomi ile klinik </w:t>
      </w:r>
      <w:r w:rsidR="009A4118">
        <w:rPr>
          <w:rFonts w:ascii="Times New Roman" w:hAnsi="Times New Roman" w:cs="Times New Roman"/>
          <w:sz w:val="24"/>
          <w:szCs w:val="24"/>
        </w:rPr>
        <w:t xml:space="preserve">anatomi </w:t>
      </w:r>
      <w:r w:rsidR="009A4118" w:rsidRPr="009A4118">
        <w:rPr>
          <w:rFonts w:ascii="Times New Roman" w:hAnsi="Times New Roman" w:cs="Times New Roman"/>
          <w:sz w:val="24"/>
          <w:szCs w:val="20"/>
        </w:rPr>
        <w:t>gibi anatomik bilgilerin klinik bilimlerde daha iyi kullanılmasını sağlayacak konular eklenmelidir”</w:t>
      </w:r>
      <w:r w:rsidR="009A4118">
        <w:rPr>
          <w:rFonts w:ascii="Times New Roman" w:hAnsi="Times New Roman" w:cs="Times New Roman"/>
          <w:sz w:val="24"/>
          <w:szCs w:val="20"/>
        </w:rPr>
        <w:t xml:space="preserve">, </w:t>
      </w:r>
      <w:r w:rsidR="009A4118" w:rsidRPr="009A4118">
        <w:rPr>
          <w:rFonts w:ascii="Times New Roman" w:hAnsi="Times New Roman" w:cs="Times New Roman"/>
          <w:sz w:val="24"/>
          <w:szCs w:val="20"/>
        </w:rPr>
        <w:t>% 70,9’unun</w:t>
      </w:r>
      <w:r w:rsidR="009A4118">
        <w:rPr>
          <w:rFonts w:ascii="Times New Roman" w:hAnsi="Times New Roman" w:cs="Times New Roman"/>
          <w:sz w:val="24"/>
          <w:szCs w:val="20"/>
        </w:rPr>
        <w:t xml:space="preserve"> ise</w:t>
      </w:r>
      <w:r w:rsidR="009A4118" w:rsidRPr="009A4118">
        <w:rPr>
          <w:rFonts w:ascii="Times New Roman" w:hAnsi="Times New Roman" w:cs="Times New Roman"/>
          <w:sz w:val="24"/>
          <w:szCs w:val="20"/>
        </w:rPr>
        <w:t xml:space="preserve"> “anatomi dersi ileriki yıllarda hatırlatıcı olarak klinik derslerle birlikte tekrar verilmelidir” görüşüne katıldıkları görül</w:t>
      </w:r>
      <w:r w:rsidR="00582AAE">
        <w:rPr>
          <w:rFonts w:ascii="Times New Roman" w:hAnsi="Times New Roman" w:cs="Times New Roman"/>
          <w:sz w:val="24"/>
          <w:szCs w:val="20"/>
        </w:rPr>
        <w:t>m</w:t>
      </w:r>
      <w:r w:rsidR="009A4118" w:rsidRPr="009A4118">
        <w:rPr>
          <w:rFonts w:ascii="Times New Roman" w:hAnsi="Times New Roman" w:cs="Times New Roman"/>
          <w:sz w:val="24"/>
          <w:szCs w:val="20"/>
        </w:rPr>
        <w:t>ü</w:t>
      </w:r>
      <w:r w:rsidR="00582AAE">
        <w:rPr>
          <w:rFonts w:ascii="Times New Roman" w:hAnsi="Times New Roman" w:cs="Times New Roman"/>
          <w:sz w:val="24"/>
          <w:szCs w:val="20"/>
        </w:rPr>
        <w:t>ştür</w:t>
      </w:r>
      <w:r w:rsidR="009A4118" w:rsidRPr="009A4118">
        <w:rPr>
          <w:rFonts w:ascii="Times New Roman" w:hAnsi="Times New Roman" w:cs="Times New Roman"/>
          <w:sz w:val="24"/>
          <w:szCs w:val="20"/>
        </w:rPr>
        <w:t>.</w:t>
      </w:r>
      <w:r w:rsidR="009A4118">
        <w:rPr>
          <w:rFonts w:ascii="Times New Roman" w:hAnsi="Times New Roman" w:cs="Times New Roman"/>
          <w:sz w:val="24"/>
          <w:szCs w:val="20"/>
        </w:rPr>
        <w:t xml:space="preserve"> </w:t>
      </w:r>
      <w:proofErr w:type="gramEnd"/>
      <w:r w:rsidR="009A4118">
        <w:rPr>
          <w:rFonts w:ascii="Times New Roman" w:hAnsi="Times New Roman" w:cs="Times New Roman"/>
          <w:sz w:val="24"/>
          <w:szCs w:val="20"/>
        </w:rPr>
        <w:t xml:space="preserve">Ayrıca </w:t>
      </w:r>
      <w:r w:rsidR="007904B4">
        <w:rPr>
          <w:rFonts w:ascii="Times New Roman" w:hAnsi="Times New Roman" w:cs="Times New Roman"/>
          <w:sz w:val="24"/>
          <w:szCs w:val="20"/>
        </w:rPr>
        <w:t>a</w:t>
      </w:r>
      <w:r w:rsidR="009A4118" w:rsidRPr="007904B4">
        <w:rPr>
          <w:rFonts w:ascii="Times New Roman" w:hAnsi="Times New Roman" w:cs="Times New Roman"/>
          <w:sz w:val="24"/>
          <w:szCs w:val="20"/>
        </w:rPr>
        <w:t>natominin mesleki hayatta kullanımı ile ilgili öğrencilerin düşünceleri incelendiğinde “aldığım anatomi eğitiminin mesleki hayatımda önemli katkı sağlayacağını düşünüyorum” görüşüne öğrencilerin % 74,2’si, “anatomi eğitiminde verilen bilgiler gelecekte verimli bir şekilde kullanabilir</w:t>
      </w:r>
      <w:r w:rsidR="007904B4">
        <w:rPr>
          <w:rFonts w:ascii="Times New Roman" w:hAnsi="Times New Roman" w:cs="Times New Roman"/>
          <w:sz w:val="24"/>
          <w:szCs w:val="20"/>
        </w:rPr>
        <w:t>” görüşüne % 83,6’sı katılmışlardır.</w:t>
      </w:r>
      <w:r w:rsidR="00A418B4">
        <w:rPr>
          <w:rFonts w:ascii="Times New Roman" w:hAnsi="Times New Roman" w:cs="Times New Roman"/>
          <w:sz w:val="24"/>
          <w:szCs w:val="20"/>
        </w:rPr>
        <w:t xml:space="preserve"> </w:t>
      </w:r>
      <w:r w:rsidR="009A4118" w:rsidRPr="009A4118">
        <w:rPr>
          <w:rFonts w:ascii="Times New Roman" w:hAnsi="Times New Roman" w:cs="Times New Roman"/>
          <w:sz w:val="24"/>
          <w:szCs w:val="20"/>
        </w:rPr>
        <w:t>Arı ve ark.’nın</w:t>
      </w:r>
      <w:r w:rsidR="009A4118" w:rsidRPr="009A4118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9A4118" w:rsidRPr="009A4118">
        <w:rPr>
          <w:rFonts w:ascii="Times New Roman" w:hAnsi="Times New Roman" w:cs="Times New Roman"/>
          <w:sz w:val="24"/>
          <w:szCs w:val="20"/>
        </w:rPr>
        <w:t xml:space="preserve"> çalışmasında öğrencilerin % 67’si anatomi derslerinin tümünün klinikle birlikte verilmesini isterken yine öğrencilerin % 90,1’i klinik bilgilerle birlikte verilen anatomi eğitiminin kendilerine olumlu katkılar sağlayacağını ifade etmiştir.</w:t>
      </w:r>
      <w:r w:rsidR="009A4118">
        <w:rPr>
          <w:rFonts w:ascii="Times New Roman" w:hAnsi="Times New Roman" w:cs="Times New Roman"/>
          <w:sz w:val="24"/>
          <w:szCs w:val="20"/>
        </w:rPr>
        <w:t xml:space="preserve"> </w:t>
      </w:r>
      <w:r w:rsidR="00A418B4">
        <w:rPr>
          <w:rFonts w:ascii="Times New Roman" w:hAnsi="Times New Roman" w:cs="Times New Roman"/>
          <w:sz w:val="24"/>
          <w:szCs w:val="20"/>
        </w:rPr>
        <w:t xml:space="preserve">Yine </w:t>
      </w:r>
      <w:r w:rsidR="009A4118" w:rsidRPr="009A4118">
        <w:rPr>
          <w:rFonts w:ascii="Times New Roman" w:hAnsi="Times New Roman" w:cs="Times New Roman"/>
          <w:sz w:val="24"/>
          <w:szCs w:val="20"/>
        </w:rPr>
        <w:t xml:space="preserve">Arı ve </w:t>
      </w:r>
      <w:proofErr w:type="spellStart"/>
      <w:r w:rsidR="009A4118" w:rsidRPr="009A4118">
        <w:rPr>
          <w:rFonts w:ascii="Times New Roman" w:hAnsi="Times New Roman" w:cs="Times New Roman"/>
          <w:sz w:val="24"/>
          <w:szCs w:val="20"/>
        </w:rPr>
        <w:t>Şendemir’i</w:t>
      </w:r>
      <w:r w:rsidR="009A4118">
        <w:rPr>
          <w:rFonts w:ascii="Times New Roman" w:hAnsi="Times New Roman" w:cs="Times New Roman"/>
          <w:sz w:val="24"/>
          <w:szCs w:val="20"/>
        </w:rPr>
        <w:t>n</w:t>
      </w:r>
      <w:proofErr w:type="spellEnd"/>
      <w:r w:rsidR="002F070E">
        <w:rPr>
          <w:rFonts w:ascii="Times New Roman" w:hAnsi="Times New Roman" w:cs="Times New Roman"/>
          <w:sz w:val="24"/>
          <w:szCs w:val="20"/>
        </w:rPr>
        <w:t xml:space="preserve"> (</w:t>
      </w:r>
      <w:r w:rsidR="003710B4">
        <w:rPr>
          <w:rFonts w:ascii="Times New Roman" w:hAnsi="Times New Roman" w:cs="Times New Roman"/>
          <w:sz w:val="24"/>
          <w:szCs w:val="20"/>
        </w:rPr>
        <w:t>7</w:t>
      </w:r>
      <w:r w:rsidR="002F070E">
        <w:rPr>
          <w:rFonts w:ascii="Times New Roman" w:hAnsi="Times New Roman" w:cs="Times New Roman"/>
          <w:sz w:val="24"/>
          <w:szCs w:val="20"/>
        </w:rPr>
        <w:t>)</w:t>
      </w:r>
      <w:r w:rsidR="009A4118" w:rsidRPr="009A4118">
        <w:rPr>
          <w:rFonts w:ascii="Times New Roman" w:hAnsi="Times New Roman" w:cs="Times New Roman"/>
          <w:sz w:val="16"/>
          <w:szCs w:val="13"/>
        </w:rPr>
        <w:t xml:space="preserve"> </w:t>
      </w:r>
      <w:r w:rsidR="009A4118" w:rsidRPr="009A4118">
        <w:rPr>
          <w:rFonts w:ascii="Times New Roman" w:hAnsi="Times New Roman" w:cs="Times New Roman"/>
          <w:sz w:val="24"/>
          <w:szCs w:val="20"/>
        </w:rPr>
        <w:t>yaptıkları çalışmada anatominin tamamen klinikle bağdaştırılarak verilmesini isteyen öğrencilerin oranı % 82,1’dir. % 47,1 oranında öğrenci eğer anatomi dersleri klinikle birlikte verilirse en iyi şekilde anlayabileceklerini ifade etmişlerdir. % 73 oranında öğrenci tıp eğitiminin 4. ve 5. yıllarında anatomiyi bir hatırlatma dersi olarak tekrar alabileceklerini bildirmiştir.</w:t>
      </w:r>
      <w:r w:rsidR="00A418B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Eyal</w:t>
      </w:r>
      <w:proofErr w:type="spellEnd"/>
      <w:r w:rsidR="003B1FF4">
        <w:rPr>
          <w:rFonts w:ascii="Times New Roman" w:hAnsi="Times New Roman" w:cs="Times New Roman"/>
          <w:sz w:val="24"/>
          <w:szCs w:val="20"/>
        </w:rPr>
        <w:t xml:space="preserve"> ve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Cohen</w:t>
      </w:r>
      <w:proofErr w:type="spellEnd"/>
      <w:r w:rsidR="002F070E">
        <w:rPr>
          <w:rFonts w:ascii="Times New Roman" w:hAnsi="Times New Roman" w:cs="Times New Roman"/>
          <w:sz w:val="24"/>
          <w:szCs w:val="20"/>
        </w:rPr>
        <w:t xml:space="preserve"> (</w:t>
      </w:r>
      <w:r w:rsidR="003710B4">
        <w:rPr>
          <w:rFonts w:ascii="Times New Roman" w:hAnsi="Times New Roman" w:cs="Times New Roman"/>
          <w:sz w:val="24"/>
          <w:szCs w:val="20"/>
        </w:rPr>
        <w:t>10</w:t>
      </w:r>
      <w:r w:rsidR="002F070E">
        <w:rPr>
          <w:rFonts w:ascii="Times New Roman" w:hAnsi="Times New Roman" w:cs="Times New Roman"/>
          <w:sz w:val="24"/>
          <w:szCs w:val="20"/>
        </w:rPr>
        <w:t>)</w:t>
      </w:r>
      <w:r w:rsidR="003B1FF4">
        <w:rPr>
          <w:rFonts w:ascii="Times New Roman" w:hAnsi="Times New Roman" w:cs="Times New Roman"/>
          <w:sz w:val="24"/>
          <w:szCs w:val="20"/>
        </w:rPr>
        <w:t xml:space="preserve">, değişik sınıflardaki 794 öğrenciye toplamda 114 soru yöneltmişler ve katılımcıların 371’i tüm soruları cevaplamışlardır. Buna göre katılımcıların %79’u “klinik bilgilerin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 w:rsidR="003B1FF4">
        <w:rPr>
          <w:rFonts w:ascii="Times New Roman" w:hAnsi="Times New Roman" w:cs="Times New Roman"/>
          <w:sz w:val="24"/>
          <w:szCs w:val="20"/>
        </w:rPr>
        <w:t xml:space="preserve"> sınıflarda verilmesinin daha faydalı olduğunu” belirtmişlerdir.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Schober</w:t>
      </w:r>
      <w:proofErr w:type="spellEnd"/>
      <w:r w:rsidR="003B1FF4">
        <w:rPr>
          <w:rFonts w:ascii="Times New Roman" w:hAnsi="Times New Roman" w:cs="Times New Roman"/>
          <w:sz w:val="24"/>
          <w:szCs w:val="20"/>
        </w:rPr>
        <w:t xml:space="preserve"> ve ark.</w:t>
      </w:r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3710B4">
        <w:rPr>
          <w:rFonts w:ascii="Times New Roman" w:hAnsi="Times New Roman" w:cs="Times New Roman"/>
          <w:sz w:val="24"/>
          <w:szCs w:val="20"/>
        </w:rPr>
        <w:t>11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3B1FF4" w:rsidRPr="00A418B4">
        <w:rPr>
          <w:rFonts w:ascii="Times New Roman" w:hAnsi="Times New Roman" w:cs="Times New Roman"/>
          <w:sz w:val="24"/>
          <w:szCs w:val="20"/>
        </w:rPr>
        <w:t xml:space="preserve"> </w:t>
      </w:r>
      <w:r w:rsidR="003B1FF4">
        <w:rPr>
          <w:rFonts w:ascii="Times New Roman" w:hAnsi="Times New Roman" w:cs="Times New Roman"/>
          <w:sz w:val="24"/>
          <w:szCs w:val="20"/>
        </w:rPr>
        <w:t xml:space="preserve">ise 618 öğrenciye anket uygulamış, 557’si anketi cevaplamıştır. Tüm sorulara cevap verenlerin sayısı 292 olup, bu öğrencilerin %80’i, klinik ve radyolojik bilgilerin anatomi derslerini anlamada kolaylık sağladığını belirtmişlerdir. </w:t>
      </w:r>
      <w:r w:rsidR="00CA21AD">
        <w:rPr>
          <w:rFonts w:ascii="Times New Roman" w:hAnsi="Times New Roman" w:cs="Times New Roman"/>
          <w:sz w:val="24"/>
          <w:szCs w:val="20"/>
        </w:rPr>
        <w:t xml:space="preserve">Bizim çalışmamızda da öğrencilerin ortalama yarısı, klinik anatomi dersinin hem </w:t>
      </w:r>
      <w:proofErr w:type="spellStart"/>
      <w:r w:rsidR="00CA21AD"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 w:rsidR="00CA21AD">
        <w:rPr>
          <w:rFonts w:ascii="Times New Roman" w:hAnsi="Times New Roman" w:cs="Times New Roman"/>
          <w:sz w:val="24"/>
          <w:szCs w:val="20"/>
        </w:rPr>
        <w:t xml:space="preserve">, hem de klinik sınıflarda anlatılmasının daha yararlı olacağını belirtmişlerdir. Bu dersin sadece </w:t>
      </w:r>
      <w:proofErr w:type="spellStart"/>
      <w:r w:rsidR="00CA21AD"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 w:rsidR="00CA21AD">
        <w:rPr>
          <w:rFonts w:ascii="Times New Roman" w:hAnsi="Times New Roman" w:cs="Times New Roman"/>
          <w:sz w:val="24"/>
          <w:szCs w:val="20"/>
        </w:rPr>
        <w:t xml:space="preserve"> sınıflarda anlatılmasının uygun </w:t>
      </w:r>
      <w:r w:rsidR="0079358B">
        <w:rPr>
          <w:rFonts w:ascii="Times New Roman" w:hAnsi="Times New Roman" w:cs="Times New Roman"/>
          <w:sz w:val="24"/>
          <w:szCs w:val="20"/>
        </w:rPr>
        <w:t xml:space="preserve">bulanlar %13 ile %20 arasında değişmekteyken, sadece klinik sınıflarda anlatılmasını uygun bulanlar en fazla %30 oranına erişmektedir. Hem </w:t>
      </w:r>
      <w:proofErr w:type="spellStart"/>
      <w:r w:rsidR="0079358B"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 w:rsidR="0079358B">
        <w:rPr>
          <w:rFonts w:ascii="Times New Roman" w:hAnsi="Times New Roman" w:cs="Times New Roman"/>
          <w:sz w:val="24"/>
          <w:szCs w:val="20"/>
        </w:rPr>
        <w:t>, hem de klinik sınıflarda anlatılması gerektiğini düşünenler ise %52 ile %60 olarak saptanmıştır. Bizim çalışmamızda bu dersin faydasını gördüğünü belirtenler %62-70 arasında değişirken, ileriki hekimlik yaşantısında katkı sağlayacağını belirtenler %84-91 arasında değişmekteydi. Bulgularımız Uygur ve ark.</w:t>
      </w:r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3710B4">
        <w:rPr>
          <w:rFonts w:ascii="Times New Roman" w:hAnsi="Times New Roman" w:cs="Times New Roman"/>
          <w:sz w:val="24"/>
          <w:szCs w:val="20"/>
        </w:rPr>
        <w:t>5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BB28F4">
        <w:rPr>
          <w:rFonts w:ascii="Times New Roman" w:hAnsi="Times New Roman" w:cs="Times New Roman"/>
          <w:sz w:val="24"/>
          <w:szCs w:val="20"/>
        </w:rPr>
        <w:t>,</w:t>
      </w:r>
      <w:r w:rsidR="0079358B">
        <w:rPr>
          <w:rFonts w:ascii="Times New Roman" w:hAnsi="Times New Roman" w:cs="Times New Roman"/>
          <w:sz w:val="24"/>
          <w:szCs w:val="20"/>
        </w:rPr>
        <w:t xml:space="preserve"> Arı ve ark.</w:t>
      </w:r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FB69DD">
        <w:rPr>
          <w:rFonts w:ascii="Times New Roman" w:hAnsi="Times New Roman" w:cs="Times New Roman"/>
          <w:sz w:val="24"/>
          <w:szCs w:val="20"/>
        </w:rPr>
        <w:t>6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79358B">
        <w:rPr>
          <w:rFonts w:ascii="Times New Roman" w:hAnsi="Times New Roman" w:cs="Times New Roman"/>
          <w:sz w:val="24"/>
          <w:szCs w:val="20"/>
        </w:rPr>
        <w:t xml:space="preserve"> </w:t>
      </w:r>
      <w:r w:rsidR="00BB28F4">
        <w:rPr>
          <w:rFonts w:ascii="Times New Roman" w:hAnsi="Times New Roman" w:cs="Times New Roman"/>
          <w:sz w:val="24"/>
          <w:szCs w:val="20"/>
        </w:rPr>
        <w:t xml:space="preserve">ile Arı ve </w:t>
      </w:r>
      <w:proofErr w:type="spellStart"/>
      <w:r w:rsidR="00BB28F4">
        <w:rPr>
          <w:rFonts w:ascii="Times New Roman" w:hAnsi="Times New Roman" w:cs="Times New Roman"/>
          <w:sz w:val="24"/>
          <w:szCs w:val="20"/>
        </w:rPr>
        <w:t>Şendemir</w:t>
      </w:r>
      <w:proofErr w:type="spellEnd"/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FB69DD">
        <w:rPr>
          <w:rFonts w:ascii="Times New Roman" w:hAnsi="Times New Roman" w:cs="Times New Roman"/>
          <w:sz w:val="24"/>
          <w:szCs w:val="20"/>
        </w:rPr>
        <w:t>7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3B1FF4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Eyal</w:t>
      </w:r>
      <w:proofErr w:type="spellEnd"/>
      <w:r w:rsidR="003B1FF4">
        <w:rPr>
          <w:rFonts w:ascii="Times New Roman" w:hAnsi="Times New Roman" w:cs="Times New Roman"/>
          <w:sz w:val="24"/>
          <w:szCs w:val="20"/>
        </w:rPr>
        <w:t xml:space="preserve"> ve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Kohen</w:t>
      </w:r>
      <w:proofErr w:type="spellEnd"/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FB69DD">
        <w:rPr>
          <w:rFonts w:ascii="Times New Roman" w:hAnsi="Times New Roman" w:cs="Times New Roman"/>
          <w:sz w:val="24"/>
          <w:szCs w:val="20"/>
        </w:rPr>
        <w:t>10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3B1FF4">
        <w:rPr>
          <w:rFonts w:ascii="Times New Roman" w:hAnsi="Times New Roman" w:cs="Times New Roman"/>
          <w:sz w:val="24"/>
          <w:szCs w:val="20"/>
        </w:rPr>
        <w:t xml:space="preserve"> ile 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Schober</w:t>
      </w:r>
      <w:proofErr w:type="spellEnd"/>
      <w:r w:rsidR="003B1FF4">
        <w:rPr>
          <w:rFonts w:ascii="Times New Roman" w:hAnsi="Times New Roman" w:cs="Times New Roman"/>
          <w:sz w:val="24"/>
          <w:szCs w:val="20"/>
        </w:rPr>
        <w:t xml:space="preserve"> ve ark.’</w:t>
      </w:r>
      <w:proofErr w:type="spellStart"/>
      <w:r w:rsidR="003B1FF4">
        <w:rPr>
          <w:rFonts w:ascii="Times New Roman" w:hAnsi="Times New Roman" w:cs="Times New Roman"/>
          <w:sz w:val="24"/>
          <w:szCs w:val="20"/>
        </w:rPr>
        <w:t>nın</w:t>
      </w:r>
      <w:proofErr w:type="spellEnd"/>
      <w:r w:rsidR="005B1815">
        <w:rPr>
          <w:rFonts w:ascii="Times New Roman" w:hAnsi="Times New Roman" w:cs="Times New Roman"/>
          <w:sz w:val="24"/>
          <w:szCs w:val="20"/>
        </w:rPr>
        <w:t xml:space="preserve"> (</w:t>
      </w:r>
      <w:r w:rsidR="00FB69DD">
        <w:rPr>
          <w:rFonts w:ascii="Times New Roman" w:hAnsi="Times New Roman" w:cs="Times New Roman"/>
          <w:sz w:val="24"/>
          <w:szCs w:val="20"/>
        </w:rPr>
        <w:t>11</w:t>
      </w:r>
      <w:r w:rsidR="005B1815">
        <w:rPr>
          <w:rFonts w:ascii="Times New Roman" w:hAnsi="Times New Roman" w:cs="Times New Roman"/>
          <w:sz w:val="24"/>
          <w:szCs w:val="20"/>
        </w:rPr>
        <w:t>)</w:t>
      </w:r>
      <w:r w:rsidR="003B1FF4">
        <w:rPr>
          <w:rFonts w:ascii="Times New Roman" w:hAnsi="Times New Roman" w:cs="Times New Roman"/>
          <w:sz w:val="24"/>
          <w:szCs w:val="20"/>
        </w:rPr>
        <w:t xml:space="preserve"> </w:t>
      </w:r>
      <w:r w:rsidR="0079358B">
        <w:rPr>
          <w:rFonts w:ascii="Times New Roman" w:hAnsi="Times New Roman" w:cs="Times New Roman"/>
          <w:sz w:val="24"/>
          <w:szCs w:val="20"/>
        </w:rPr>
        <w:t>sonuçları ile uyumludur.</w:t>
      </w:r>
    </w:p>
    <w:p w:rsidR="00BB28F4" w:rsidRDefault="00BB28F4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Sonuçlar:</w:t>
      </w:r>
    </w:p>
    <w:p w:rsidR="00BB28F4" w:rsidRDefault="00BB28F4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1) Radyolojik ve Klinik anatomi dersleri, klasik anatomi bilgilerinin daha kolay anlaşılmasını sağlamakta, öğrenilen bilgilerin pekişmesine yardımcı olmakta ve öğrencilerin </w:t>
      </w:r>
      <w:proofErr w:type="gramStart"/>
      <w:r w:rsidR="00E51837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>otivasyonunu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arttırmaktadır.</w:t>
      </w:r>
    </w:p>
    <w:p w:rsidR="00BB28F4" w:rsidRDefault="00BB28F4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Anılan derslerin sadece </w:t>
      </w:r>
      <w:proofErr w:type="spellStart"/>
      <w:r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sınıflarda verilmesi yeterli görülmemekte, hem </w:t>
      </w:r>
      <w:proofErr w:type="spellStart"/>
      <w:r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>
        <w:rPr>
          <w:rFonts w:ascii="Times New Roman" w:hAnsi="Times New Roman" w:cs="Times New Roman"/>
          <w:sz w:val="24"/>
          <w:szCs w:val="20"/>
        </w:rPr>
        <w:t>, hem de klinik sınıflarda verilmesi istenmektedir.</w:t>
      </w:r>
    </w:p>
    <w:p w:rsidR="00BB28F4" w:rsidRDefault="00BB28F4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3) Öğrencilerimiz bu bilgilerin ileriki hekimlik yaşantılarında kendilerine yol gösterici olacağını ve kendilerine katkı sağlayacağını düşünmektedirler.</w:t>
      </w:r>
    </w:p>
    <w:p w:rsidR="00BB28F4" w:rsidRDefault="00BB28F4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4) Fakültemizde halen </w:t>
      </w:r>
      <w:proofErr w:type="spellStart"/>
      <w:r>
        <w:rPr>
          <w:rFonts w:ascii="Times New Roman" w:hAnsi="Times New Roman" w:cs="Times New Roman"/>
          <w:sz w:val="24"/>
          <w:szCs w:val="20"/>
        </w:rPr>
        <w:t>preklinik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sınıflarda (1. ve 2. sınıflarda) anlatılmakta olan radyolojik ve klinik anatomi derslerinin klinik sınıflarda da anlatılmasının yararlı olacağını ve bu şekilde planlama yapılması gerektiğini düşünmekteyiz.</w:t>
      </w:r>
    </w:p>
    <w:p w:rsidR="00D9053D" w:rsidRDefault="00D9053D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3D" w:rsidRDefault="00D9053D" w:rsidP="00D6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C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D9053D" w:rsidRPr="00223862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Drake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RL,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Vogl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W,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Mitchell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AWM.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Gray’s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Anatomy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3862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Philadelphia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Churchill-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Livingstone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2386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</w:p>
    <w:p w:rsidR="00D9053D" w:rsidRPr="00906268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268">
        <w:rPr>
          <w:rFonts w:ascii="Times New Roman" w:hAnsi="Times New Roman" w:cs="Times New Roman"/>
          <w:color w:val="000000"/>
          <w:sz w:val="24"/>
          <w:szCs w:val="24"/>
        </w:rPr>
        <w:t>Sarsılmaz M. Anatomi, 1. bas</w:t>
      </w:r>
      <w:r>
        <w:rPr>
          <w:rFonts w:ascii="Times New Roman" w:hAnsi="Times New Roman" w:cs="Times New Roman"/>
          <w:color w:val="000000"/>
          <w:sz w:val="24"/>
          <w:szCs w:val="24"/>
        </w:rPr>
        <w:t>kı. Ankara: Nobel Yayın Dağıtım;</w:t>
      </w:r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2009. </w:t>
      </w:r>
    </w:p>
    <w:p w:rsidR="00D9053D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Carmichael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SW,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Pawlina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W.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Animated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tool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anatomy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Anat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268">
        <w:rPr>
          <w:rFonts w:ascii="Times New Roman" w:hAnsi="Times New Roman" w:cs="Times New Roman"/>
          <w:color w:val="000000"/>
          <w:sz w:val="24"/>
          <w:szCs w:val="24"/>
        </w:rPr>
        <w:t>Rec</w:t>
      </w:r>
      <w:proofErr w:type="spellEnd"/>
      <w:r w:rsidRPr="00906268">
        <w:rPr>
          <w:rFonts w:ascii="Times New Roman" w:hAnsi="Times New Roman" w:cs="Times New Roman"/>
          <w:color w:val="000000"/>
          <w:sz w:val="24"/>
          <w:szCs w:val="24"/>
        </w:rPr>
        <w:t xml:space="preserve"> 2000;261(2):83-8. </w:t>
      </w:r>
    </w:p>
    <w:p w:rsidR="00D9053D" w:rsidRDefault="00D9053D" w:rsidP="00D6375E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Hammoudi</w:t>
      </w:r>
      <w:proofErr w:type="spellEnd"/>
      <w:r w:rsidRPr="0029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hAnsi="Times New Roman" w:cs="Times New Roman"/>
          <w:bCs/>
          <w:sz w:val="24"/>
          <w:szCs w:val="24"/>
        </w:rPr>
        <w:t>N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 xml:space="preserve">, </w:t>
      </w:r>
      <w:proofErr w:type="spellStart"/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Arangalage</w:t>
      </w:r>
      <w:proofErr w:type="spellEnd"/>
      <w:r w:rsidRPr="00295885">
        <w:rPr>
          <w:rFonts w:ascii="Times New Roman" w:eastAsia="NFMDJ L+ MTSYB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 xml:space="preserve">D, </w:t>
      </w:r>
      <w:proofErr w:type="spellStart"/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Boubrit</w:t>
      </w:r>
      <w:proofErr w:type="spellEnd"/>
      <w:r w:rsidRPr="00295885">
        <w:rPr>
          <w:rFonts w:ascii="Times New Roman" w:eastAsia="NFMDJ L+ MTSYB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 xml:space="preserve">L, </w:t>
      </w:r>
      <w:proofErr w:type="spellStart"/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Renaudb</w:t>
      </w:r>
      <w:proofErr w:type="spellEnd"/>
      <w:r w:rsidRPr="00295885">
        <w:rPr>
          <w:rFonts w:ascii="Times New Roman" w:eastAsia="NFMDJ L+ MTSYB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 xml:space="preserve">MC, </w:t>
      </w:r>
      <w:proofErr w:type="spellStart"/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Isnard</w:t>
      </w:r>
      <w:proofErr w:type="spellEnd"/>
      <w:r w:rsidRPr="00295885">
        <w:rPr>
          <w:rFonts w:ascii="Times New Roman" w:eastAsia="NFMDJ L+ MTSYB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 xml:space="preserve">R, </w:t>
      </w:r>
      <w:proofErr w:type="spellStart"/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Collet</w:t>
      </w:r>
      <w:proofErr w:type="spellEnd"/>
      <w:r w:rsidRPr="00295885">
        <w:rPr>
          <w:rFonts w:ascii="Times New Roman" w:eastAsia="NFMDJ L+ MTSYB" w:hAnsi="Times New Roman" w:cs="Times New Roman"/>
          <w:bCs/>
          <w:sz w:val="24"/>
          <w:szCs w:val="24"/>
        </w:rPr>
        <w:t xml:space="preserve"> </w:t>
      </w:r>
      <w:r w:rsidRPr="00E2667F">
        <w:rPr>
          <w:rFonts w:ascii="Times New Roman" w:eastAsia="NFMDJ L+ MTSYB" w:hAnsi="Times New Roman" w:cs="Times New Roman"/>
          <w:bCs/>
          <w:sz w:val="24"/>
          <w:szCs w:val="24"/>
        </w:rPr>
        <w:t>JP</w:t>
      </w:r>
      <w:r>
        <w:rPr>
          <w:rFonts w:ascii="Times New Roman" w:eastAsia="NFMDJ L+ MTSYB" w:hAnsi="Times New Roman" w:cs="Times New Roman"/>
          <w:bCs/>
          <w:sz w:val="24"/>
          <w:szCs w:val="24"/>
        </w:rPr>
        <w:t xml:space="preserve"> et al.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Ultrasound-based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cardiac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anatomy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physiology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undergraduate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E2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2667F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E2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sz w:val="24"/>
          <w:szCs w:val="24"/>
        </w:rPr>
        <w:t>Cardiovasc</w:t>
      </w:r>
      <w:proofErr w:type="spellEnd"/>
      <w:r w:rsidRPr="00E2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67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2667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667F">
        <w:rPr>
          <w:rFonts w:ascii="Times New Roman" w:hAnsi="Times New Roman" w:cs="Times New Roman"/>
          <w:bCs/>
          <w:sz w:val="24"/>
          <w:szCs w:val="24"/>
        </w:rPr>
        <w:t>106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2667F">
        <w:rPr>
          <w:rFonts w:ascii="Times New Roman" w:hAnsi="Times New Roman" w:cs="Times New Roman"/>
          <w:sz w:val="24"/>
          <w:szCs w:val="24"/>
        </w:rPr>
        <w:t>487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67F"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53D" w:rsidRDefault="00D9053D" w:rsidP="00D6375E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1766">
        <w:rPr>
          <w:rFonts w:ascii="Times New Roman" w:hAnsi="Times New Roman" w:cs="Times New Roman"/>
          <w:sz w:val="24"/>
          <w:szCs w:val="24"/>
        </w:rPr>
        <w:t>Uygur</w:t>
      </w:r>
      <w:r w:rsidRPr="00F1772A">
        <w:rPr>
          <w:rFonts w:ascii="Times New Roman" w:hAnsi="Times New Roman" w:cs="Times New Roman"/>
          <w:sz w:val="24"/>
          <w:szCs w:val="24"/>
        </w:rPr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>R, Çağlar</w:t>
      </w:r>
      <w:r w:rsidRPr="00F1772A">
        <w:rPr>
          <w:rFonts w:ascii="Times New Roman" w:hAnsi="Times New Roman" w:cs="Times New Roman"/>
          <w:sz w:val="24"/>
          <w:szCs w:val="24"/>
        </w:rPr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>V, Topçu</w:t>
      </w:r>
      <w:r w:rsidRPr="00F1772A">
        <w:rPr>
          <w:rFonts w:ascii="Times New Roman" w:hAnsi="Times New Roman" w:cs="Times New Roman"/>
          <w:sz w:val="24"/>
          <w:szCs w:val="24"/>
        </w:rPr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>B, Aktaş</w:t>
      </w:r>
      <w:r w:rsidRPr="00F1772A">
        <w:rPr>
          <w:rFonts w:ascii="Times New Roman" w:hAnsi="Times New Roman" w:cs="Times New Roman"/>
          <w:sz w:val="24"/>
          <w:szCs w:val="24"/>
        </w:rPr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>S, Özen</w:t>
      </w:r>
      <w:r w:rsidRPr="00F1772A">
        <w:rPr>
          <w:rFonts w:ascii="Times New Roman" w:hAnsi="Times New Roman" w:cs="Times New Roman"/>
          <w:sz w:val="24"/>
          <w:szCs w:val="24"/>
        </w:rPr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>OA.</w:t>
      </w:r>
      <w:r w:rsidRPr="00351766">
        <w:t xml:space="preserve"> </w:t>
      </w:r>
      <w:r w:rsidRPr="003517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1766">
        <w:rPr>
          <w:rFonts w:ascii="Times New Roman" w:hAnsi="Times New Roman" w:cs="Times New Roman"/>
          <w:bCs/>
          <w:sz w:val="24"/>
          <w:szCs w:val="24"/>
        </w:rPr>
        <w:t>Anatomi Eğitimi Hakkında Öğrenci Görüşlerinin Değerlendirilmesi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517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End"/>
      <w:r w:rsidRPr="0035176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51766">
        <w:rPr>
          <w:rFonts w:ascii="Times New Roman" w:hAnsi="Times New Roman" w:cs="Times New Roman"/>
          <w:sz w:val="24"/>
          <w:szCs w:val="24"/>
        </w:rPr>
        <w:t xml:space="preserve"> J Basic </w:t>
      </w:r>
      <w:proofErr w:type="spellStart"/>
      <w:r w:rsidRPr="00351766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351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6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351766">
        <w:rPr>
          <w:rFonts w:ascii="Times New Roman" w:hAnsi="Times New Roman" w:cs="Times New Roman"/>
          <w:sz w:val="24"/>
          <w:szCs w:val="24"/>
        </w:rPr>
        <w:t xml:space="preserve"> 2013;1(2):94-106.</w:t>
      </w:r>
    </w:p>
    <w:p w:rsidR="00D9053D" w:rsidRDefault="00D9053D" w:rsidP="00D6375E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EC1DF8">
        <w:rPr>
          <w:rFonts w:ascii="Times New Roman" w:hAnsi="Times New Roman" w:cs="Times New Roman"/>
        </w:rPr>
        <w:t xml:space="preserve">Arı İ, </w:t>
      </w:r>
      <w:proofErr w:type="spellStart"/>
      <w:r w:rsidRPr="00EC1DF8">
        <w:rPr>
          <w:rFonts w:ascii="Times New Roman" w:hAnsi="Times New Roman" w:cs="Times New Roman"/>
        </w:rPr>
        <w:t>İrgil</w:t>
      </w:r>
      <w:proofErr w:type="spellEnd"/>
      <w:r w:rsidRPr="00EC1DF8">
        <w:rPr>
          <w:rFonts w:ascii="Times New Roman" w:hAnsi="Times New Roman" w:cs="Times New Roman"/>
        </w:rPr>
        <w:t xml:space="preserve"> E, Kafa İM, </w:t>
      </w:r>
      <w:proofErr w:type="spellStart"/>
      <w:r w:rsidRPr="00EC1DF8">
        <w:rPr>
          <w:rFonts w:ascii="Times New Roman" w:hAnsi="Times New Roman" w:cs="Times New Roman"/>
        </w:rPr>
        <w:t>Şendemir</w:t>
      </w:r>
      <w:proofErr w:type="spellEnd"/>
      <w:r w:rsidRPr="00EC1DF8">
        <w:rPr>
          <w:rFonts w:ascii="Times New Roman" w:hAnsi="Times New Roman" w:cs="Times New Roman"/>
        </w:rPr>
        <w:t xml:space="preserve"> E. Bir anket çalışması: Anatomi eğitimi ve öğrencilerin görüşleri. Uludağ Üniversitesi Tıp Fakültesi Dergisi 2003;29(2):15-</w:t>
      </w:r>
      <w:r>
        <w:rPr>
          <w:rFonts w:ascii="Times New Roman" w:hAnsi="Times New Roman" w:cs="Times New Roman"/>
        </w:rPr>
        <w:t>1</w:t>
      </w:r>
      <w:r w:rsidRPr="00EC1DF8">
        <w:rPr>
          <w:rFonts w:ascii="Times New Roman" w:hAnsi="Times New Roman" w:cs="Times New Roman"/>
        </w:rPr>
        <w:t xml:space="preserve">8. </w:t>
      </w:r>
    </w:p>
    <w:p w:rsidR="00D9053D" w:rsidRPr="00940ACC" w:rsidRDefault="00D9053D" w:rsidP="00D6375E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1DF8">
        <w:rPr>
          <w:rFonts w:ascii="Times New Roman" w:hAnsi="Times New Roman" w:cs="Times New Roman"/>
        </w:rPr>
        <w:t xml:space="preserve">Arı İ, </w:t>
      </w:r>
      <w:proofErr w:type="spellStart"/>
      <w:r w:rsidRPr="00EC1DF8">
        <w:rPr>
          <w:rFonts w:ascii="Times New Roman" w:hAnsi="Times New Roman" w:cs="Times New Roman"/>
        </w:rPr>
        <w:t>Şendemir</w:t>
      </w:r>
      <w:proofErr w:type="spellEnd"/>
      <w:r w:rsidRPr="00EC1DF8">
        <w:rPr>
          <w:rFonts w:ascii="Times New Roman" w:hAnsi="Times New Roman" w:cs="Times New Roman"/>
        </w:rPr>
        <w:t xml:space="preserve"> E. Anatomi eğitimi üzerine öğrenci görüşleri. Uludağ Üniversitesi Tıp Fakültesi Dergisi 2003;29(2):11-</w:t>
      </w:r>
      <w:r>
        <w:rPr>
          <w:rFonts w:ascii="Times New Roman" w:hAnsi="Times New Roman" w:cs="Times New Roman"/>
        </w:rPr>
        <w:t>1</w:t>
      </w:r>
      <w:r w:rsidRPr="00EC1DF8">
        <w:rPr>
          <w:rFonts w:ascii="Times New Roman" w:hAnsi="Times New Roman" w:cs="Times New Roman"/>
        </w:rPr>
        <w:t>4.</w:t>
      </w:r>
    </w:p>
    <w:p w:rsidR="00D9053D" w:rsidRPr="00EC1DF8" w:rsidRDefault="00D9053D" w:rsidP="00D637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1DF8">
        <w:rPr>
          <w:rFonts w:ascii="Times New Roman" w:hAnsi="Times New Roman" w:cs="Times New Roman"/>
        </w:rPr>
        <w:t>Acuner AM, Yalçın M, Ersoy M, Tekdemir İ, Ersoy F. Ankara üniversitesi tıp fakültesi anatomi dersine ilişkin öğretme-öğrenme sürecinin değerlendirilmesi. Ankara Üniversitesi Tıp Fakültesi Mecmuası 1999;52(4):211-</w:t>
      </w:r>
      <w:r>
        <w:rPr>
          <w:rFonts w:ascii="Times New Roman" w:hAnsi="Times New Roman" w:cs="Times New Roman"/>
        </w:rPr>
        <w:t>1</w:t>
      </w:r>
      <w:r w:rsidRPr="00EC1DF8">
        <w:rPr>
          <w:rFonts w:ascii="Times New Roman" w:hAnsi="Times New Roman" w:cs="Times New Roman"/>
        </w:rPr>
        <w:t xml:space="preserve">8. </w:t>
      </w:r>
    </w:p>
    <w:p w:rsidR="00D9053D" w:rsidRPr="00940ACC" w:rsidRDefault="00D9053D" w:rsidP="00D6375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44B">
        <w:rPr>
          <w:rFonts w:ascii="Times New Roman" w:hAnsi="Times New Roman" w:cs="Times New Roman"/>
          <w:color w:val="231F20"/>
        </w:rPr>
        <w:t>Moscova</w:t>
      </w:r>
      <w:proofErr w:type="spellEnd"/>
      <w:r w:rsidRPr="00BA1FB9"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 xml:space="preserve">M, </w:t>
      </w:r>
      <w:proofErr w:type="spellStart"/>
      <w:r w:rsidRPr="000D744B">
        <w:rPr>
          <w:rFonts w:ascii="Times New Roman" w:hAnsi="Times New Roman" w:cs="Times New Roman"/>
          <w:color w:val="231F20"/>
        </w:rPr>
        <w:t>Bryce</w:t>
      </w:r>
      <w:proofErr w:type="spellEnd"/>
      <w:r w:rsidRPr="00BA1FB9"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 xml:space="preserve">DA, </w:t>
      </w:r>
      <w:proofErr w:type="spellStart"/>
      <w:r w:rsidRPr="000D744B">
        <w:rPr>
          <w:rFonts w:ascii="Times New Roman" w:hAnsi="Times New Roman" w:cs="Times New Roman"/>
          <w:color w:val="231F20"/>
        </w:rPr>
        <w:t>Sindhusake</w:t>
      </w:r>
      <w:proofErr w:type="spellEnd"/>
      <w:r w:rsidRPr="00BA1FB9"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 xml:space="preserve">D, </w:t>
      </w:r>
      <w:proofErr w:type="spellStart"/>
      <w:r w:rsidRPr="000D744B">
        <w:rPr>
          <w:rFonts w:ascii="Times New Roman" w:hAnsi="Times New Roman" w:cs="Times New Roman"/>
          <w:color w:val="231F20"/>
        </w:rPr>
        <w:t>Young</w:t>
      </w:r>
      <w:proofErr w:type="spellEnd"/>
      <w:r w:rsidRPr="00BA1FB9"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</w:rPr>
        <w:t xml:space="preserve">. </w:t>
      </w:r>
      <w:r w:rsidRPr="000D744B">
        <w:rPr>
          <w:rFonts w:ascii="Times New Roman" w:hAnsi="Times New Roman" w:cs="Times New Roman"/>
          <w:color w:val="231F20"/>
        </w:rPr>
        <w:t xml:space="preserve">Integration of </w:t>
      </w:r>
      <w:proofErr w:type="spellStart"/>
      <w:r w:rsidRPr="000D744B">
        <w:rPr>
          <w:rFonts w:ascii="Times New Roman" w:hAnsi="Times New Roman" w:cs="Times New Roman"/>
          <w:color w:val="231F20"/>
        </w:rPr>
        <w:t>Medical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Imaging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Including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Ultrasound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Into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a</w:t>
      </w:r>
      <w:r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 xml:space="preserve">New </w:t>
      </w:r>
      <w:proofErr w:type="spellStart"/>
      <w:r w:rsidRPr="000D744B">
        <w:rPr>
          <w:rFonts w:ascii="Times New Roman" w:hAnsi="Times New Roman" w:cs="Times New Roman"/>
          <w:color w:val="231F20"/>
        </w:rPr>
        <w:t>Clinical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Anatomy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0D744B">
        <w:rPr>
          <w:rFonts w:ascii="Times New Roman" w:hAnsi="Times New Roman" w:cs="Times New Roman"/>
          <w:color w:val="231F20"/>
        </w:rPr>
        <w:t>Curriculum</w:t>
      </w:r>
      <w:proofErr w:type="spellEnd"/>
      <w:r w:rsidRPr="000D744B">
        <w:rPr>
          <w:rFonts w:ascii="Times New Roman" w:hAnsi="Times New Roman" w:cs="Times New Roman"/>
          <w:color w:val="231F20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</w:rPr>
        <w:t>Anat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Sci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Educ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r w:rsidRPr="000D744B">
        <w:rPr>
          <w:rFonts w:ascii="Times New Roman" w:hAnsi="Times New Roman" w:cs="Times New Roman"/>
          <w:color w:val="231F20"/>
        </w:rPr>
        <w:t>2015</w:t>
      </w:r>
      <w:r>
        <w:rPr>
          <w:rFonts w:ascii="Times New Roman" w:hAnsi="Times New Roman" w:cs="Times New Roman"/>
          <w:color w:val="231F20"/>
        </w:rPr>
        <w:t>;</w:t>
      </w:r>
      <w:proofErr w:type="gramStart"/>
      <w:r>
        <w:rPr>
          <w:rFonts w:ascii="Times New Roman" w:hAnsi="Times New Roman" w:cs="Times New Roman"/>
          <w:color w:val="231F20"/>
        </w:rPr>
        <w:t>8:205</w:t>
      </w:r>
      <w:proofErr w:type="gramEnd"/>
      <w:r>
        <w:rPr>
          <w:rFonts w:ascii="Times New Roman" w:hAnsi="Times New Roman" w:cs="Times New Roman"/>
          <w:color w:val="231F20"/>
        </w:rPr>
        <w:t>–220.</w:t>
      </w:r>
    </w:p>
    <w:p w:rsidR="00D9053D" w:rsidRPr="00940ACC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Eyal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Cohen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940ACC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Preparation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for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clinical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practice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: a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survey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medical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students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’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graduates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’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perceptions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effectiveness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their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medical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sch</w:t>
      </w:r>
      <w:r>
        <w:rPr>
          <w:rFonts w:ascii="Times New Roman" w:hAnsi="Times New Roman" w:cs="Times New Roman"/>
          <w:color w:val="231F20"/>
          <w:sz w:val="24"/>
          <w:szCs w:val="24"/>
        </w:rPr>
        <w:t>ool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2006;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>28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z w:val="24"/>
          <w:szCs w:val="24"/>
        </w:rPr>
        <w:t>):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>162–170.</w:t>
      </w:r>
    </w:p>
    <w:p w:rsidR="00D9053D" w:rsidRPr="00940ACC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Schober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Pieper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CC,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Schmidt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R,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Wittkowski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Project in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0A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0ACC">
        <w:rPr>
          <w:rFonts w:ascii="Times New Roman" w:hAnsi="Times New Roman" w:cs="Times New Roman"/>
          <w:sz w:val="24"/>
          <w:szCs w:val="24"/>
        </w:rPr>
        <w:t>Curricular</w:t>
      </w:r>
      <w:proofErr w:type="spellEnd"/>
      <w:r w:rsidRPr="00940ACC">
        <w:rPr>
          <w:rFonts w:ascii="Times New Roman" w:hAnsi="Times New Roman" w:cs="Times New Roman"/>
          <w:sz w:val="24"/>
          <w:szCs w:val="24"/>
        </w:rPr>
        <w:t xml:space="preserve"> Course.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Fortschr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Röntgenstr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2014;186:458–465.</w:t>
      </w:r>
    </w:p>
    <w:p w:rsidR="00D9053D" w:rsidRPr="00940ACC" w:rsidRDefault="00D9053D" w:rsidP="00D6375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ACC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853303">
        <w:rPr>
          <w:rFonts w:ascii="Times New Roman" w:hAnsi="Times New Roman" w:cs="Times New Roman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sz w:val="24"/>
          <w:szCs w:val="24"/>
        </w:rPr>
        <w:t>A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Staskiewicz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GJ,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Lisiecka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J,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Pietrzyk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Ł,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Czekajlo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M,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Arancibia</w:t>
      </w:r>
      <w:proofErr w:type="spellEnd"/>
      <w:r w:rsidRPr="008533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>CU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et al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Bridging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Gap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Between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Basic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Clinical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Sciences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: A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Description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of a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Radiological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Anatomy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Course.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Anat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Sci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Educ</w:t>
      </w:r>
      <w:proofErr w:type="spellEnd"/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  <w:proofErr w:type="gramStart"/>
      <w:r w:rsidRPr="00940ACC">
        <w:rPr>
          <w:rFonts w:ascii="Times New Roman" w:hAnsi="Times New Roman" w:cs="Times New Roman"/>
          <w:color w:val="231F20"/>
          <w:sz w:val="24"/>
          <w:szCs w:val="24"/>
        </w:rPr>
        <w:t>9:295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940ACC">
        <w:rPr>
          <w:rFonts w:ascii="Times New Roman" w:hAnsi="Times New Roman" w:cs="Times New Roman"/>
          <w:color w:val="231F20"/>
          <w:sz w:val="24"/>
          <w:szCs w:val="24"/>
        </w:rPr>
        <w:t xml:space="preserve">303. </w:t>
      </w:r>
    </w:p>
    <w:p w:rsidR="00D9053D" w:rsidRDefault="00D9053D" w:rsidP="00D6375E">
      <w:pPr>
        <w:spacing w:line="240" w:lineRule="auto"/>
      </w:pPr>
    </w:p>
    <w:p w:rsidR="00940ACC" w:rsidRDefault="00940ACC" w:rsidP="00D6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ACC" w:rsidSect="00D1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vP46190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FMDJ L+ MTSYB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238"/>
    <w:multiLevelType w:val="hybridMultilevel"/>
    <w:tmpl w:val="B036B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3C24"/>
    <w:multiLevelType w:val="hybridMultilevel"/>
    <w:tmpl w:val="2A6CCF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2B4"/>
    <w:multiLevelType w:val="hybridMultilevel"/>
    <w:tmpl w:val="FA309B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212E"/>
    <w:multiLevelType w:val="multilevel"/>
    <w:tmpl w:val="1D8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C6D29"/>
    <w:multiLevelType w:val="hybridMultilevel"/>
    <w:tmpl w:val="FA309B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3131"/>
    <w:multiLevelType w:val="hybridMultilevel"/>
    <w:tmpl w:val="2A6CCF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D"/>
    <w:rsid w:val="000472F3"/>
    <w:rsid w:val="000832B4"/>
    <w:rsid w:val="000A2105"/>
    <w:rsid w:val="000B4A0F"/>
    <w:rsid w:val="000C5F08"/>
    <w:rsid w:val="00102C25"/>
    <w:rsid w:val="001355F4"/>
    <w:rsid w:val="001A1486"/>
    <w:rsid w:val="001B1AE6"/>
    <w:rsid w:val="001B5610"/>
    <w:rsid w:val="001D27DD"/>
    <w:rsid w:val="00220E9F"/>
    <w:rsid w:val="00223862"/>
    <w:rsid w:val="00277AEE"/>
    <w:rsid w:val="002839E2"/>
    <w:rsid w:val="00295885"/>
    <w:rsid w:val="002A481B"/>
    <w:rsid w:val="002F070E"/>
    <w:rsid w:val="002F504E"/>
    <w:rsid w:val="003324E3"/>
    <w:rsid w:val="003710B4"/>
    <w:rsid w:val="00376E84"/>
    <w:rsid w:val="003B1FF4"/>
    <w:rsid w:val="003E0FEA"/>
    <w:rsid w:val="003E258F"/>
    <w:rsid w:val="00416EAE"/>
    <w:rsid w:val="00442D73"/>
    <w:rsid w:val="00475D28"/>
    <w:rsid w:val="00482DB9"/>
    <w:rsid w:val="00495407"/>
    <w:rsid w:val="004A5044"/>
    <w:rsid w:val="004A6B23"/>
    <w:rsid w:val="004B617A"/>
    <w:rsid w:val="00506C1D"/>
    <w:rsid w:val="00525A65"/>
    <w:rsid w:val="00557D58"/>
    <w:rsid w:val="00573245"/>
    <w:rsid w:val="00582AAE"/>
    <w:rsid w:val="00592E90"/>
    <w:rsid w:val="005A399A"/>
    <w:rsid w:val="005B1815"/>
    <w:rsid w:val="005E4AFE"/>
    <w:rsid w:val="00623732"/>
    <w:rsid w:val="00635632"/>
    <w:rsid w:val="00677897"/>
    <w:rsid w:val="006A43D2"/>
    <w:rsid w:val="006F4841"/>
    <w:rsid w:val="00723D98"/>
    <w:rsid w:val="00730A12"/>
    <w:rsid w:val="007570C9"/>
    <w:rsid w:val="007904B4"/>
    <w:rsid w:val="0079358B"/>
    <w:rsid w:val="007C1FAE"/>
    <w:rsid w:val="007C3164"/>
    <w:rsid w:val="007F1FAD"/>
    <w:rsid w:val="00802514"/>
    <w:rsid w:val="00840CCF"/>
    <w:rsid w:val="00853303"/>
    <w:rsid w:val="00884813"/>
    <w:rsid w:val="0089384A"/>
    <w:rsid w:val="008E32D6"/>
    <w:rsid w:val="008F04C2"/>
    <w:rsid w:val="00906268"/>
    <w:rsid w:val="00914A40"/>
    <w:rsid w:val="009349E4"/>
    <w:rsid w:val="00940ACC"/>
    <w:rsid w:val="0098247E"/>
    <w:rsid w:val="009947D3"/>
    <w:rsid w:val="009A2490"/>
    <w:rsid w:val="009A4118"/>
    <w:rsid w:val="009F7695"/>
    <w:rsid w:val="00A27569"/>
    <w:rsid w:val="00A36227"/>
    <w:rsid w:val="00A418B4"/>
    <w:rsid w:val="00A6337B"/>
    <w:rsid w:val="00AB3C1A"/>
    <w:rsid w:val="00B30B42"/>
    <w:rsid w:val="00B70483"/>
    <w:rsid w:val="00B81399"/>
    <w:rsid w:val="00B956A1"/>
    <w:rsid w:val="00BA1FB9"/>
    <w:rsid w:val="00BB28F4"/>
    <w:rsid w:val="00BC7F9F"/>
    <w:rsid w:val="00BE25EC"/>
    <w:rsid w:val="00C83C7D"/>
    <w:rsid w:val="00C8680E"/>
    <w:rsid w:val="00C90795"/>
    <w:rsid w:val="00CA21AD"/>
    <w:rsid w:val="00CA4181"/>
    <w:rsid w:val="00CB00BB"/>
    <w:rsid w:val="00CC14FA"/>
    <w:rsid w:val="00CD4933"/>
    <w:rsid w:val="00CE1E67"/>
    <w:rsid w:val="00D126A0"/>
    <w:rsid w:val="00D16659"/>
    <w:rsid w:val="00D31BCF"/>
    <w:rsid w:val="00D4097C"/>
    <w:rsid w:val="00D6375E"/>
    <w:rsid w:val="00D769C8"/>
    <w:rsid w:val="00D9053D"/>
    <w:rsid w:val="00DB303A"/>
    <w:rsid w:val="00DB45A7"/>
    <w:rsid w:val="00DB5AAE"/>
    <w:rsid w:val="00DB614D"/>
    <w:rsid w:val="00DF723B"/>
    <w:rsid w:val="00E1116B"/>
    <w:rsid w:val="00E51837"/>
    <w:rsid w:val="00E662BC"/>
    <w:rsid w:val="00EC0265"/>
    <w:rsid w:val="00EF2361"/>
    <w:rsid w:val="00EF3611"/>
    <w:rsid w:val="00F02CFF"/>
    <w:rsid w:val="00F06A4F"/>
    <w:rsid w:val="00F11A28"/>
    <w:rsid w:val="00F1772A"/>
    <w:rsid w:val="00F24C18"/>
    <w:rsid w:val="00F41E7A"/>
    <w:rsid w:val="00FB69DD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D2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1D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F1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27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D27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1D27D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D27DD"/>
  </w:style>
  <w:style w:type="paragraph" w:styleId="NormalWeb">
    <w:name w:val="Normal (Web)"/>
    <w:basedOn w:val="Normal"/>
    <w:uiPriority w:val="99"/>
    <w:unhideWhenUsed/>
    <w:rsid w:val="001D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1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0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0ACC"/>
    <w:pPr>
      <w:ind w:left="720"/>
      <w:contextualSpacing/>
    </w:pPr>
  </w:style>
  <w:style w:type="paragraph" w:customStyle="1" w:styleId="Default">
    <w:name w:val="Default"/>
    <w:rsid w:val="00940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D2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1D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F1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27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D27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1D27D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D27DD"/>
  </w:style>
  <w:style w:type="paragraph" w:styleId="NormalWeb">
    <w:name w:val="Normal (Web)"/>
    <w:basedOn w:val="Normal"/>
    <w:uiPriority w:val="99"/>
    <w:unhideWhenUsed/>
    <w:rsid w:val="001D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1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0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0ACC"/>
    <w:pPr>
      <w:ind w:left="720"/>
      <w:contextualSpacing/>
    </w:pPr>
  </w:style>
  <w:style w:type="paragraph" w:customStyle="1" w:styleId="Default">
    <w:name w:val="Default"/>
    <w:rsid w:val="00940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64.760000000000005</c:v>
                </c:pt>
                <c:pt idx="1">
                  <c:v>79.91</c:v>
                </c:pt>
                <c:pt idx="2">
                  <c:v>90.91</c:v>
                </c:pt>
                <c:pt idx="3">
                  <c:v>95.08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22.59</c:v>
                </c:pt>
                <c:pt idx="1">
                  <c:v>17.7</c:v>
                </c:pt>
                <c:pt idx="2">
                  <c:v>6.06</c:v>
                </c:pt>
                <c:pt idx="3">
                  <c:v>2.46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12.65</c:v>
                </c:pt>
                <c:pt idx="1">
                  <c:v>2.39</c:v>
                </c:pt>
                <c:pt idx="2">
                  <c:v>3.03</c:v>
                </c:pt>
                <c:pt idx="3">
                  <c:v>2.46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965440"/>
        <c:axId val="134724352"/>
        <c:axId val="0"/>
      </c:bar3DChart>
      <c:catAx>
        <c:axId val="17996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24352"/>
        <c:crosses val="autoZero"/>
        <c:auto val="1"/>
        <c:lblAlgn val="ctr"/>
        <c:lblOffset val="100"/>
        <c:noMultiLvlLbl val="0"/>
      </c:catAx>
      <c:valAx>
        <c:axId val="13472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6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88.85</c:v>
                </c:pt>
                <c:pt idx="1">
                  <c:v>91.38</c:v>
                </c:pt>
                <c:pt idx="2">
                  <c:v>97.47</c:v>
                </c:pt>
                <c:pt idx="3">
                  <c:v>94.08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7.23</c:v>
                </c:pt>
                <c:pt idx="1">
                  <c:v>7.66</c:v>
                </c:pt>
                <c:pt idx="2">
                  <c:v>1.01</c:v>
                </c:pt>
                <c:pt idx="3">
                  <c:v>4.93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3.92</c:v>
                </c:pt>
                <c:pt idx="1">
                  <c:v>0.96</c:v>
                </c:pt>
                <c:pt idx="2">
                  <c:v>1.52</c:v>
                </c:pt>
                <c:pt idx="3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528576"/>
        <c:axId val="92152960"/>
        <c:axId val="0"/>
      </c:bar3DChart>
      <c:catAx>
        <c:axId val="8552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92152960"/>
        <c:crosses val="autoZero"/>
        <c:auto val="1"/>
        <c:lblAlgn val="ctr"/>
        <c:lblOffset val="100"/>
        <c:noMultiLvlLbl val="0"/>
      </c:catAx>
      <c:valAx>
        <c:axId val="9215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2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1.-2.sınıflarda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10.24</c:v>
                </c:pt>
                <c:pt idx="1">
                  <c:v>16.27</c:v>
                </c:pt>
                <c:pt idx="2">
                  <c:v>11.1</c:v>
                </c:pt>
                <c:pt idx="3">
                  <c:v>10.34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4.-5.sınıflarda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25.3</c:v>
                </c:pt>
                <c:pt idx="1">
                  <c:v>27.75</c:v>
                </c:pt>
                <c:pt idx="2">
                  <c:v>34.85</c:v>
                </c:pt>
                <c:pt idx="3">
                  <c:v>43.84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Hem 1.-2,hem de 4.-5.sınıflarda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34.04</c:v>
                </c:pt>
                <c:pt idx="1">
                  <c:v>39.229999999999997</c:v>
                </c:pt>
                <c:pt idx="2">
                  <c:v>36.869999999999997</c:v>
                </c:pt>
                <c:pt idx="3">
                  <c:v>36.950000000000003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Sadece 6.sınıfta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Sayfa1!$E$2:$E$5</c:f>
              <c:numCache>
                <c:formatCode>General</c:formatCode>
                <c:ptCount val="4"/>
                <c:pt idx="0">
                  <c:v>19.88</c:v>
                </c:pt>
                <c:pt idx="1">
                  <c:v>6.7</c:v>
                </c:pt>
                <c:pt idx="2">
                  <c:v>12.63</c:v>
                </c:pt>
                <c:pt idx="3">
                  <c:v>7.88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Fikrim yok (%)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Sayfa1!$F$2:$F$5</c:f>
              <c:numCache>
                <c:formatCode>General</c:formatCode>
                <c:ptCount val="4"/>
                <c:pt idx="0">
                  <c:v>10.54</c:v>
                </c:pt>
                <c:pt idx="1">
                  <c:v>10.050000000000001</c:v>
                </c:pt>
                <c:pt idx="2">
                  <c:v>4.55</c:v>
                </c:pt>
                <c:pt idx="3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64800"/>
        <c:axId val="92154112"/>
        <c:axId val="0"/>
      </c:bar3DChart>
      <c:catAx>
        <c:axId val="9236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2154112"/>
        <c:crosses val="autoZero"/>
        <c:auto val="1"/>
        <c:lblAlgn val="ctr"/>
        <c:lblOffset val="100"/>
        <c:noMultiLvlLbl val="0"/>
      </c:catAx>
      <c:valAx>
        <c:axId val="9215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64800"/>
        <c:crosses val="autoZero"/>
        <c:crossBetween val="between"/>
      </c:valAx>
    </c:plotArea>
    <c:legend>
      <c:legendPos val="r"/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1.-2.  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12.65</c:v>
                </c:pt>
                <c:pt idx="1">
                  <c:v>20.2</c:v>
                </c:pt>
                <c:pt idx="2">
                  <c:v>14.14</c:v>
                </c:pt>
                <c:pt idx="3">
                  <c:v>15.34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4.-5. 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16.57</c:v>
                </c:pt>
                <c:pt idx="1">
                  <c:v>17.309999999999999</c:v>
                </c:pt>
                <c:pt idx="2">
                  <c:v>29.29</c:v>
                </c:pt>
                <c:pt idx="3">
                  <c:v>17.82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Hem 1.-2., hem de 4.-5.sınıflarda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56.02</c:v>
                </c:pt>
                <c:pt idx="1">
                  <c:v>51.44</c:v>
                </c:pt>
                <c:pt idx="2">
                  <c:v>49.49</c:v>
                </c:pt>
                <c:pt idx="3">
                  <c:v>59.41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Sadece 6. sınıfta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Sayfa1!$E$2:$E$5</c:f>
              <c:numCache>
                <c:formatCode>General</c:formatCode>
                <c:ptCount val="4"/>
                <c:pt idx="0">
                  <c:v>6.93</c:v>
                </c:pt>
                <c:pt idx="1">
                  <c:v>2.88</c:v>
                </c:pt>
                <c:pt idx="2">
                  <c:v>3.54</c:v>
                </c:pt>
                <c:pt idx="3">
                  <c:v>4.95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Fikrim yok (%)</c:v>
                </c:pt>
              </c:strCache>
            </c:strRef>
          </c:tx>
          <c:spPr>
            <a:solidFill>
              <a:schemeClr val="accent6"/>
            </a:solidFill>
            <a:effectLst>
              <a:outerShdw blurRad="50800" dist="50800" dir="5400000" algn="ctr" rotWithShape="0">
                <a:schemeClr val="accent6"/>
              </a:outerShdw>
            </a:effectLst>
          </c:spPr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Sayfa1!$F$2:$F$5</c:f>
              <c:numCache>
                <c:formatCode>General</c:formatCode>
                <c:ptCount val="4"/>
                <c:pt idx="0">
                  <c:v>7.83</c:v>
                </c:pt>
                <c:pt idx="1">
                  <c:v>8.17</c:v>
                </c:pt>
                <c:pt idx="2">
                  <c:v>3.54</c:v>
                </c:pt>
                <c:pt idx="3">
                  <c:v>2.48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68384"/>
        <c:axId val="92155840"/>
        <c:axId val="0"/>
      </c:bar3DChart>
      <c:catAx>
        <c:axId val="9236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2155840"/>
        <c:crosses val="autoZero"/>
        <c:auto val="1"/>
        <c:lblAlgn val="ctr"/>
        <c:lblOffset val="100"/>
        <c:noMultiLvlLbl val="0"/>
      </c:catAx>
      <c:valAx>
        <c:axId val="9215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68384"/>
        <c:crosses val="autoZero"/>
        <c:crossBetween val="between"/>
      </c:valAx>
    </c:plotArea>
    <c:legend>
      <c:legendPos val="r"/>
      <c:overlay val="0"/>
      <c:spPr>
        <a:effectLst>
          <a:glow rad="127000">
            <a:schemeClr val="accent6"/>
          </a:glow>
        </a:effectLst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36.25</c:v>
                </c:pt>
                <c:pt idx="1">
                  <c:v>40.869999999999997</c:v>
                </c:pt>
                <c:pt idx="2">
                  <c:v>47.98</c:v>
                </c:pt>
                <c:pt idx="3">
                  <c:v>49.01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38.07</c:v>
                </c:pt>
                <c:pt idx="1">
                  <c:v>38.94</c:v>
                </c:pt>
                <c:pt idx="2">
                  <c:v>22.73</c:v>
                </c:pt>
                <c:pt idx="3">
                  <c:v>22.28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25.68</c:v>
                </c:pt>
                <c:pt idx="1">
                  <c:v>20.190000000000001</c:v>
                </c:pt>
                <c:pt idx="2">
                  <c:v>29.29</c:v>
                </c:pt>
                <c:pt idx="3">
                  <c:v>28.71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67360"/>
        <c:axId val="92157568"/>
        <c:axId val="0"/>
      </c:bar3DChart>
      <c:catAx>
        <c:axId val="9236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2157568"/>
        <c:crosses val="autoZero"/>
        <c:auto val="1"/>
        <c:lblAlgn val="ctr"/>
        <c:lblOffset val="100"/>
        <c:noMultiLvlLbl val="0"/>
      </c:catAx>
      <c:valAx>
        <c:axId val="921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6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69.88</c:v>
                </c:pt>
                <c:pt idx="1">
                  <c:v>61.72</c:v>
                </c:pt>
                <c:pt idx="2">
                  <c:v>63.13</c:v>
                </c:pt>
                <c:pt idx="3">
                  <c:v>66.510000000000005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17.170000000000002</c:v>
                </c:pt>
                <c:pt idx="1">
                  <c:v>25.36</c:v>
                </c:pt>
                <c:pt idx="2">
                  <c:v>16.670000000000002</c:v>
                </c:pt>
                <c:pt idx="3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12.95</c:v>
                </c:pt>
                <c:pt idx="1">
                  <c:v>12.92</c:v>
                </c:pt>
                <c:pt idx="2">
                  <c:v>20.2</c:v>
                </c:pt>
                <c:pt idx="3">
                  <c:v>13.79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550656"/>
        <c:axId val="92159296"/>
        <c:axId val="0"/>
      </c:bar3DChart>
      <c:catAx>
        <c:axId val="9255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92159296"/>
        <c:crosses val="autoZero"/>
        <c:auto val="1"/>
        <c:lblAlgn val="ctr"/>
        <c:lblOffset val="100"/>
        <c:noMultiLvlLbl val="0"/>
      </c:catAx>
      <c:valAx>
        <c:axId val="921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5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80.430000000000007</c:v>
                </c:pt>
                <c:pt idx="1">
                  <c:v>69.23</c:v>
                </c:pt>
                <c:pt idx="2">
                  <c:v>85.86</c:v>
                </c:pt>
                <c:pt idx="3">
                  <c:v>87.69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8.43</c:v>
                </c:pt>
                <c:pt idx="1">
                  <c:v>20.67</c:v>
                </c:pt>
                <c:pt idx="2">
                  <c:v>6.06</c:v>
                </c:pt>
                <c:pt idx="3">
                  <c:v>3.94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11.14</c:v>
                </c:pt>
                <c:pt idx="1">
                  <c:v>10.1</c:v>
                </c:pt>
                <c:pt idx="2">
                  <c:v>8.08</c:v>
                </c:pt>
                <c:pt idx="3">
                  <c:v>8.3699999999999992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551680"/>
        <c:axId val="92800128"/>
        <c:axId val="0"/>
      </c:bar3DChart>
      <c:catAx>
        <c:axId val="9255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800128"/>
        <c:crosses val="autoZero"/>
        <c:auto val="1"/>
        <c:lblAlgn val="ctr"/>
        <c:lblOffset val="100"/>
        <c:noMultiLvlLbl val="0"/>
      </c:catAx>
      <c:valAx>
        <c:axId val="9280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Evet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90.67</c:v>
                </c:pt>
                <c:pt idx="1">
                  <c:v>83.73</c:v>
                </c:pt>
                <c:pt idx="2">
                  <c:v>90.4</c:v>
                </c:pt>
                <c:pt idx="3">
                  <c:v>89.66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Hayır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5.72</c:v>
                </c:pt>
                <c:pt idx="1">
                  <c:v>8.61</c:v>
                </c:pt>
                <c:pt idx="2">
                  <c:v>4.04</c:v>
                </c:pt>
                <c:pt idx="3">
                  <c:v>3.94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Fikrim yok (%)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2.Sınıf</c:v>
                </c:pt>
                <c:pt idx="1">
                  <c:v>4.Sınıf</c:v>
                </c:pt>
                <c:pt idx="2">
                  <c:v>5.Sınıf</c:v>
                </c:pt>
                <c:pt idx="3">
                  <c:v>6.Sınıf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3.61</c:v>
                </c:pt>
                <c:pt idx="1">
                  <c:v>7.66</c:v>
                </c:pt>
                <c:pt idx="2">
                  <c:v>5.56</c:v>
                </c:pt>
                <c:pt idx="3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245824"/>
        <c:axId val="92801856"/>
        <c:axId val="0"/>
      </c:bar3DChart>
      <c:catAx>
        <c:axId val="1752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92801856"/>
        <c:crosses val="autoZero"/>
        <c:auto val="1"/>
        <c:lblAlgn val="ctr"/>
        <c:lblOffset val="100"/>
        <c:noMultiLvlLbl val="0"/>
      </c:catAx>
      <c:valAx>
        <c:axId val="9280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2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2016-10-13T12:56:00Z</dcterms:created>
  <dcterms:modified xsi:type="dcterms:W3CDTF">2017-03-02T11:52:00Z</dcterms:modified>
</cp:coreProperties>
</file>