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AC6" w:rsidRDefault="00CA3AC6" w:rsidP="00CA3AC6">
      <w:pPr>
        <w:pStyle w:val="Gvde"/>
        <w:widowControl w:val="0"/>
        <w:ind w:left="720"/>
        <w:rPr>
          <w:rFonts w:ascii="Arial" w:hAnsi="Arial" w:cs="Arial"/>
          <w:color w:val="222222"/>
          <w:shd w:val="clear" w:color="auto" w:fill="FFFFFF"/>
        </w:rPr>
      </w:pPr>
      <w:r>
        <w:rPr>
          <w:rFonts w:ascii="Arial" w:hAnsi="Arial" w:cs="Arial"/>
          <w:color w:val="222222"/>
          <w:shd w:val="clear" w:color="auto" w:fill="FFFFFF"/>
        </w:rPr>
        <w:t xml:space="preserve">Dear Editor </w:t>
      </w:r>
    </w:p>
    <w:p w:rsidR="00CA3AC6" w:rsidRDefault="00CA3AC6" w:rsidP="00CA3AC6">
      <w:pPr>
        <w:pStyle w:val="Gvde"/>
        <w:widowControl w:val="0"/>
        <w:spacing w:after="120"/>
        <w:ind w:left="720"/>
        <w:rPr>
          <w:rFonts w:ascii="Arial" w:hAnsi="Arial" w:cs="Arial"/>
          <w:color w:val="222222"/>
          <w:shd w:val="clear" w:color="auto" w:fill="FFFFFF"/>
        </w:rPr>
      </w:pPr>
    </w:p>
    <w:p w:rsidR="00CA3AC6" w:rsidRDefault="00CA3AC6" w:rsidP="00CA3AC6">
      <w:pPr>
        <w:pStyle w:val="Gvde"/>
        <w:widowControl w:val="0"/>
        <w:spacing w:after="120"/>
        <w:ind w:left="720"/>
        <w:rPr>
          <w:rFonts w:ascii="Arial" w:hAnsi="Arial" w:cs="Arial"/>
          <w:color w:val="222222"/>
          <w:shd w:val="clear" w:color="auto" w:fill="FFFFFF"/>
        </w:rPr>
      </w:pPr>
      <w:r>
        <w:rPr>
          <w:rFonts w:ascii="Arial" w:hAnsi="Arial" w:cs="Arial"/>
          <w:color w:val="222222"/>
          <w:shd w:val="clear" w:color="auto" w:fill="FFFFFF"/>
        </w:rPr>
        <w:t xml:space="preserve">We made necessary changes according to your advice. </w:t>
      </w:r>
    </w:p>
    <w:p w:rsidR="00CA3AC6" w:rsidRDefault="00CA3AC6" w:rsidP="00CA3AC6">
      <w:pPr>
        <w:pStyle w:val="Gvde"/>
        <w:widowControl w:val="0"/>
        <w:spacing w:after="120"/>
        <w:ind w:left="720"/>
        <w:rPr>
          <w:rFonts w:ascii="Arial" w:hAnsi="Arial" w:cs="Arial"/>
          <w:color w:val="222222"/>
          <w:shd w:val="clear" w:color="auto" w:fill="FFFFFF"/>
        </w:rPr>
      </w:pPr>
      <w:r>
        <w:rPr>
          <w:rFonts w:ascii="Arial" w:hAnsi="Arial" w:cs="Arial"/>
          <w:color w:val="222222"/>
          <w:shd w:val="clear" w:color="auto" w:fill="FFFFFF"/>
        </w:rPr>
        <w:t>We will be very happy if you consider our manuscript for publication şn your journal.</w:t>
      </w:r>
    </w:p>
    <w:p w:rsidR="00CA3AC6" w:rsidRDefault="00CA3AC6" w:rsidP="00CA3AC6">
      <w:pPr>
        <w:pStyle w:val="Gvde"/>
        <w:widowControl w:val="0"/>
        <w:ind w:left="720"/>
        <w:rPr>
          <w:rFonts w:ascii="Arial" w:hAnsi="Arial" w:cs="Arial"/>
          <w:color w:val="222222"/>
          <w:shd w:val="clear" w:color="auto" w:fill="FFFFFF"/>
        </w:rPr>
      </w:pPr>
    </w:p>
    <w:p w:rsidR="00CA3AC6" w:rsidRDefault="00CA3AC6" w:rsidP="00CA3AC6">
      <w:pPr>
        <w:pStyle w:val="Gvde"/>
        <w:widowControl w:val="0"/>
        <w:ind w:left="720"/>
        <w:rPr>
          <w:rFonts w:ascii="Arial" w:hAnsi="Arial" w:cs="Arial"/>
          <w:color w:val="222222"/>
          <w:shd w:val="clear" w:color="auto" w:fill="FFFFFF"/>
        </w:rPr>
      </w:pPr>
      <w:r>
        <w:rPr>
          <w:rFonts w:ascii="Arial" w:hAnsi="Arial" w:cs="Arial"/>
          <w:color w:val="222222"/>
          <w:shd w:val="clear" w:color="auto" w:fill="FFFFFF"/>
        </w:rPr>
        <w:t xml:space="preserve">Yours Sincerely </w:t>
      </w:r>
    </w:p>
    <w:p w:rsidR="00CA3AC6" w:rsidRDefault="00CA3AC6" w:rsidP="00CA3AC6">
      <w:pPr>
        <w:pStyle w:val="Gvde"/>
        <w:widowControl w:val="0"/>
        <w:ind w:left="720"/>
        <w:rPr>
          <w:rFonts w:ascii="Arial" w:hAnsi="Arial" w:cs="Arial"/>
          <w:color w:val="222222"/>
          <w:shd w:val="clear" w:color="auto" w:fill="FFFFFF"/>
        </w:rPr>
      </w:pPr>
    </w:p>
    <w:p w:rsidR="00CA3AC6" w:rsidRDefault="00CA3AC6" w:rsidP="00CA3AC6">
      <w:pPr>
        <w:pStyle w:val="Gvde"/>
        <w:widowControl w:val="0"/>
        <w:ind w:left="720"/>
        <w:rPr>
          <w:rFonts w:ascii="Arial" w:hAnsi="Arial" w:cs="Arial"/>
          <w:color w:val="222222"/>
          <w:shd w:val="clear" w:color="auto" w:fill="FFFFFF"/>
        </w:rPr>
      </w:pPr>
      <w:r>
        <w:rPr>
          <w:rFonts w:ascii="Arial" w:hAnsi="Arial" w:cs="Arial"/>
          <w:color w:val="222222"/>
          <w:shd w:val="clear" w:color="auto" w:fill="FFFFFF"/>
        </w:rPr>
        <w:t xml:space="preserve">Dr. Devran Suer </w:t>
      </w:r>
    </w:p>
    <w:p w:rsidR="00CA3AC6" w:rsidRPr="00753F3F" w:rsidRDefault="00CA3AC6" w:rsidP="00CA3AC6">
      <w:pPr>
        <w:pStyle w:val="Gvde"/>
        <w:widowControl w:val="0"/>
        <w:spacing w:after="240" w:line="360" w:lineRule="auto"/>
        <w:ind w:left="720"/>
        <w:rPr>
          <w:rFonts w:ascii="Arial" w:hAnsi="Arial" w:cs="Arial"/>
          <w:b/>
          <w:color w:val="222222"/>
          <w:shd w:val="clear" w:color="auto" w:fill="FFFFFF"/>
        </w:rPr>
      </w:pPr>
    </w:p>
    <w:p w:rsidR="00CA3AC6" w:rsidRDefault="00CA3AC6" w:rsidP="00CA3AC6">
      <w:pPr>
        <w:pStyle w:val="Gvde"/>
        <w:widowControl w:val="0"/>
        <w:spacing w:after="120"/>
        <w:ind w:left="720"/>
        <w:rPr>
          <w:rFonts w:ascii="Arial" w:hAnsi="Arial" w:cs="Arial"/>
          <w:color w:val="222222"/>
          <w:shd w:val="clear" w:color="auto" w:fill="FFFFFF"/>
        </w:rPr>
      </w:pPr>
      <w:r w:rsidRPr="00753F3F">
        <w:rPr>
          <w:rFonts w:ascii="Arial" w:hAnsi="Arial" w:cs="Arial"/>
          <w:b/>
          <w:i/>
          <w:color w:val="222222"/>
          <w:shd w:val="clear" w:color="auto" w:fill="FFFFFF"/>
        </w:rPr>
        <w:t>Comment 1-</w:t>
      </w:r>
      <w:r>
        <w:rPr>
          <w:rFonts w:ascii="Arial" w:hAnsi="Arial" w:cs="Arial"/>
          <w:color w:val="222222"/>
          <w:shd w:val="clear" w:color="auto" w:fill="FFFFFF"/>
        </w:rPr>
        <w:t xml:space="preserve"> some corrections of language has been made on the text. </w:t>
      </w:r>
    </w:p>
    <w:p w:rsidR="00CA3AC6" w:rsidRDefault="00CA3AC6" w:rsidP="00CA3AC6">
      <w:pPr>
        <w:pStyle w:val="Gvde"/>
        <w:widowControl w:val="0"/>
        <w:spacing w:after="120"/>
        <w:ind w:left="720"/>
        <w:rPr>
          <w:rFonts w:ascii="Arial" w:hAnsi="Arial" w:cs="Arial"/>
          <w:color w:val="222222"/>
        </w:rPr>
      </w:pPr>
      <w:r w:rsidRPr="00753F3F">
        <w:rPr>
          <w:rFonts w:ascii="Arial" w:hAnsi="Arial" w:cs="Arial"/>
          <w:b/>
          <w:i/>
          <w:color w:val="222222"/>
          <w:shd w:val="clear" w:color="auto" w:fill="FFFFFF"/>
        </w:rPr>
        <w:t>Answer 1-</w:t>
      </w:r>
      <w:r>
        <w:rPr>
          <w:rFonts w:ascii="Arial" w:hAnsi="Arial" w:cs="Arial"/>
          <w:color w:val="222222"/>
        </w:rPr>
        <w:t xml:space="preserve"> some corrections of language has also be made. </w:t>
      </w:r>
    </w:p>
    <w:p w:rsidR="00CA3AC6" w:rsidRDefault="00CA3AC6" w:rsidP="00CA3AC6">
      <w:pPr>
        <w:pStyle w:val="Gvde"/>
        <w:widowControl w:val="0"/>
        <w:spacing w:after="240" w:line="360" w:lineRule="auto"/>
        <w:ind w:left="720"/>
        <w:rPr>
          <w:rFonts w:ascii="Arial" w:hAnsi="Arial" w:cs="Arial"/>
          <w:color w:val="222222"/>
          <w:shd w:val="clear" w:color="auto" w:fill="FFFFFF"/>
        </w:rPr>
      </w:pPr>
      <w:r>
        <w:rPr>
          <w:rFonts w:ascii="Arial" w:hAnsi="Arial" w:cs="Arial"/>
          <w:color w:val="222222"/>
        </w:rPr>
        <w:br/>
      </w:r>
      <w:r w:rsidRPr="00753F3F">
        <w:rPr>
          <w:rFonts w:ascii="Arial" w:hAnsi="Arial" w:cs="Arial"/>
          <w:b/>
          <w:i/>
          <w:color w:val="222222"/>
          <w:shd w:val="clear" w:color="auto" w:fill="FFFFFF"/>
        </w:rPr>
        <w:t>Comment 2-</w:t>
      </w:r>
      <w:r>
        <w:rPr>
          <w:rFonts w:ascii="Arial" w:hAnsi="Arial" w:cs="Arial"/>
          <w:color w:val="222222"/>
          <w:shd w:val="clear" w:color="auto" w:fill="FFFFFF"/>
        </w:rPr>
        <w:t xml:space="preserve"> Your conclusion is not about usage of uricosuric drugs. Your conclusion is the relationship you found between high serum UA levels and LACI and PACI. You can only make a comment about drugs after stating the result of your study.</w:t>
      </w:r>
    </w:p>
    <w:p w:rsidR="00CA3AC6" w:rsidRDefault="00CA3AC6" w:rsidP="00CA3AC6">
      <w:pPr>
        <w:pStyle w:val="Gvde"/>
        <w:widowControl w:val="0"/>
        <w:spacing w:after="240" w:line="360" w:lineRule="auto"/>
        <w:ind w:left="720"/>
        <w:rPr>
          <w:rFonts w:ascii="Arial" w:hAnsi="Arial" w:cs="Arial"/>
          <w:color w:val="222222"/>
          <w:shd w:val="clear" w:color="auto" w:fill="FFFFFF"/>
        </w:rPr>
      </w:pPr>
      <w:r w:rsidRPr="00753F3F">
        <w:rPr>
          <w:rFonts w:ascii="Arial" w:hAnsi="Arial" w:cs="Arial"/>
          <w:b/>
          <w:i/>
          <w:color w:val="222222"/>
          <w:shd w:val="clear" w:color="auto" w:fill="FFFFFF"/>
        </w:rPr>
        <w:t xml:space="preserve">Answer 2- </w:t>
      </w:r>
      <w:r>
        <w:rPr>
          <w:rFonts w:ascii="Arial" w:hAnsi="Arial" w:cs="Arial"/>
          <w:color w:val="222222"/>
          <w:shd w:val="clear" w:color="auto" w:fill="FFFFFF"/>
        </w:rPr>
        <w:t xml:space="preserve">We made necessary corrections and we highlighted the sentences in yellow colour in the text. </w:t>
      </w:r>
    </w:p>
    <w:p w:rsidR="00CA3AC6" w:rsidRPr="00753F3F" w:rsidRDefault="00CA3AC6" w:rsidP="00CA3AC6">
      <w:pPr>
        <w:pStyle w:val="Gvde"/>
        <w:widowControl w:val="0"/>
        <w:spacing w:after="240" w:line="360" w:lineRule="auto"/>
        <w:ind w:left="720"/>
        <w:jc w:val="both"/>
        <w:rPr>
          <w:rFonts w:ascii="Arial" w:hAnsi="Arial" w:cs="Arial"/>
        </w:rPr>
      </w:pPr>
      <w:r w:rsidRPr="00753F3F">
        <w:rPr>
          <w:rFonts w:ascii="Arial" w:hAnsi="Arial" w:cs="Arial"/>
        </w:rPr>
        <w:t>Future research with larger groups should focus on whether uric acid- lowering drugs have any beneficial effects on acute stroke and AF.’ was changed as ‘In our study, it was found that high SUA levels were related to LACI and PACI, respectively. Further studies with larger groups are needed.’ in the conclusion  section of  English Abstract.</w:t>
      </w:r>
    </w:p>
    <w:p w:rsidR="00CA3AC6" w:rsidRPr="00753F3F" w:rsidRDefault="00CA3AC6" w:rsidP="00CA3AC6">
      <w:pPr>
        <w:pStyle w:val="Gvde"/>
        <w:widowControl w:val="0"/>
        <w:spacing w:after="240" w:line="360" w:lineRule="auto"/>
        <w:ind w:left="720"/>
        <w:jc w:val="both"/>
        <w:rPr>
          <w:rFonts w:ascii="Arial" w:hAnsi="Arial" w:cs="Arial"/>
        </w:rPr>
      </w:pPr>
      <w:r w:rsidRPr="00753F3F">
        <w:rPr>
          <w:rFonts w:ascii="Arial" w:hAnsi="Arial" w:cs="Arial"/>
          <w:color w:val="222222"/>
        </w:rPr>
        <w:t>‘Ürik asit düşürücü ilaçların akut inme ve AF üzerinde herhangi bir yararlı etkiye sahip olup olmadığı ile ilgili olarak daha büyük gruplar üzerinde yapılacak ileri çalışmalara ihtiyaç vardır.’ was changed as ‘</w:t>
      </w:r>
      <w:r w:rsidRPr="00753F3F">
        <w:rPr>
          <w:rFonts w:ascii="Arial" w:hAnsi="Arial" w:cs="Arial"/>
          <w:b/>
          <w:color w:val="222222"/>
        </w:rPr>
        <w:t xml:space="preserve">: </w:t>
      </w:r>
      <w:r w:rsidRPr="00753F3F">
        <w:rPr>
          <w:rFonts w:ascii="Arial" w:hAnsi="Arial" w:cs="Arial"/>
          <w:color w:val="222222"/>
        </w:rPr>
        <w:t xml:space="preserve">Çalışmamızda yüksek SUA düzeylerinin  sırasıyla LACI ve PACI ile ilişkili olduğu saptanmış olup, daha büyük gruplarla yapılacak ileri çalışmalara ihtiyaç vardır.’ </w:t>
      </w:r>
      <w:r w:rsidRPr="00753F3F">
        <w:rPr>
          <w:rFonts w:ascii="Arial" w:hAnsi="Arial" w:cs="Arial"/>
        </w:rPr>
        <w:t>in the conclusion  section of  Turkish Abstract.</w:t>
      </w:r>
    </w:p>
    <w:p w:rsidR="00CA3AC6" w:rsidRPr="00753F3F" w:rsidRDefault="00CA3AC6" w:rsidP="00CA3AC6">
      <w:pPr>
        <w:pStyle w:val="Gvde"/>
        <w:widowControl w:val="0"/>
        <w:spacing w:after="240" w:line="360" w:lineRule="auto"/>
        <w:ind w:left="720"/>
        <w:rPr>
          <w:rFonts w:ascii="Arial" w:hAnsi="Arial" w:cs="Arial"/>
          <w:color w:val="222222"/>
          <w:shd w:val="clear" w:color="auto" w:fill="FFFFFF"/>
        </w:rPr>
      </w:pPr>
    </w:p>
    <w:p w:rsidR="00CA3AC6" w:rsidRDefault="00CA3AC6" w:rsidP="00CA3AC6">
      <w:pPr>
        <w:pStyle w:val="Gvde"/>
        <w:widowControl w:val="0"/>
        <w:spacing w:after="240" w:line="360" w:lineRule="auto"/>
        <w:ind w:left="720"/>
        <w:rPr>
          <w:rFonts w:hAnsi="Times New Roman" w:cs="Times New Roman"/>
        </w:rPr>
      </w:pPr>
      <w:r>
        <w:rPr>
          <w:rFonts w:ascii="Arial" w:hAnsi="Arial" w:cs="Arial"/>
          <w:color w:val="222222"/>
        </w:rPr>
        <w:br/>
      </w:r>
      <w:r w:rsidRPr="00753F3F">
        <w:rPr>
          <w:rFonts w:ascii="Arial" w:hAnsi="Arial" w:cs="Arial"/>
          <w:b/>
          <w:i/>
          <w:color w:val="222222"/>
          <w:shd w:val="clear" w:color="auto" w:fill="FFFFFF"/>
        </w:rPr>
        <w:lastRenderedPageBreak/>
        <w:t>Comment 3-</w:t>
      </w:r>
      <w:r>
        <w:rPr>
          <w:rFonts w:ascii="Arial" w:hAnsi="Arial" w:cs="Arial"/>
          <w:color w:val="222222"/>
          <w:shd w:val="clear" w:color="auto" w:fill="FFFFFF"/>
        </w:rPr>
        <w:t xml:space="preserve"> Is the relationship between AF and extracranial atherosclerosis found in anterior or posterior circulation? You have contradictory statements in the abstract and text ,which must be corrected.</w:t>
      </w:r>
    </w:p>
    <w:p w:rsidR="00CA3AC6" w:rsidRDefault="00CA3AC6" w:rsidP="00CA3AC6">
      <w:pPr>
        <w:pStyle w:val="Gvde"/>
        <w:widowControl w:val="0"/>
        <w:spacing w:after="240" w:line="360" w:lineRule="auto"/>
        <w:ind w:left="720"/>
        <w:jc w:val="both"/>
        <w:rPr>
          <w:rFonts w:ascii="Arial" w:hAnsi="Arial" w:cs="Arial"/>
        </w:rPr>
      </w:pPr>
      <w:r w:rsidRPr="00753F3F">
        <w:rPr>
          <w:rFonts w:ascii="Arial" w:hAnsi="Arial" w:cs="Arial"/>
          <w:b/>
          <w:i/>
        </w:rPr>
        <w:t xml:space="preserve">Answer 3- </w:t>
      </w:r>
      <w:r w:rsidRPr="00753F3F">
        <w:rPr>
          <w:rFonts w:ascii="Arial" w:hAnsi="Arial" w:cs="Arial"/>
        </w:rPr>
        <w:t>‘</w:t>
      </w:r>
      <w:r w:rsidRPr="00753F3F">
        <w:rPr>
          <w:rFonts w:ascii="Arial" w:hAnsi="Arial" w:cs="Arial"/>
          <w:bCs/>
          <w:color w:val="auto"/>
        </w:rPr>
        <w:t>There was no statistically significant difference between serum uric acid levels and AF; no statistically significant correlation was found between AF and atherosclerotic intracranial</w:t>
      </w:r>
      <w:r w:rsidRPr="00753F3F">
        <w:rPr>
          <w:rFonts w:ascii="Arial" w:hAnsi="Arial" w:cs="Arial"/>
          <w:bCs/>
          <w:strike/>
          <w:color w:val="auto"/>
        </w:rPr>
        <w:t>-</w:t>
      </w:r>
      <w:r w:rsidRPr="00753F3F">
        <w:rPr>
          <w:rFonts w:ascii="Arial" w:hAnsi="Arial" w:cs="Arial"/>
          <w:bCs/>
          <w:color w:val="auto"/>
        </w:rPr>
        <w:t xml:space="preserve">extracranial artery stenosis.’ was changed as </w:t>
      </w:r>
      <w:r>
        <w:rPr>
          <w:rFonts w:ascii="Arial" w:hAnsi="Arial" w:cs="Arial"/>
          <w:bCs/>
          <w:color w:val="auto"/>
        </w:rPr>
        <w:t>“</w:t>
      </w:r>
      <w:r w:rsidRPr="00172A81">
        <w:rPr>
          <w:rFonts w:ascii="Arial" w:hAnsi="Arial" w:cs="Arial"/>
          <w:bCs/>
          <w:color w:val="auto"/>
        </w:rPr>
        <w:t xml:space="preserve">There was no statistically significant difference between serum uric acid levels and AF; no statistically significant correlation was found between AF and atherosclerotic intracranial artery stenosis. We only found a correlation between </w:t>
      </w:r>
      <w:r w:rsidRPr="00172A81">
        <w:rPr>
          <w:rFonts w:ascii="Arial" w:hAnsi="Arial" w:cs="Arial"/>
        </w:rPr>
        <w:t>AF and extracranial atherosclerosis of the anterior circulation as contour irregularity and moderate stenosis (</w:t>
      </w:r>
      <w:r w:rsidRPr="00172A81">
        <w:rPr>
          <w:rFonts w:ascii="Arial" w:hAnsi="Arial" w:cs="Arial"/>
          <w:i/>
          <w:iCs/>
        </w:rPr>
        <w:t>p</w:t>
      </w:r>
      <w:r w:rsidRPr="00172A81">
        <w:rPr>
          <w:rFonts w:ascii="Arial" w:hAnsi="Arial" w:cs="Arial"/>
        </w:rPr>
        <w:t>=0.05)</w:t>
      </w:r>
      <w:r>
        <w:rPr>
          <w:rFonts w:ascii="Arial" w:hAnsi="Arial" w:cs="Arial"/>
        </w:rPr>
        <w:t>”</w:t>
      </w:r>
      <w:r w:rsidRPr="00172A81">
        <w:rPr>
          <w:rFonts w:ascii="Arial" w:hAnsi="Arial" w:cs="Arial"/>
        </w:rPr>
        <w:t xml:space="preserve"> </w:t>
      </w:r>
      <w:r w:rsidRPr="00172A81">
        <w:rPr>
          <w:rFonts w:ascii="Arial" w:hAnsi="Arial" w:cs="Arial"/>
          <w:bCs/>
          <w:color w:val="auto"/>
        </w:rPr>
        <w:t>in the 6</w:t>
      </w:r>
      <w:r w:rsidRPr="00172A81">
        <w:rPr>
          <w:rFonts w:ascii="Arial" w:hAnsi="Arial" w:cs="Arial"/>
          <w:bCs/>
          <w:color w:val="auto"/>
          <w:vertAlign w:val="superscript"/>
        </w:rPr>
        <w:t xml:space="preserve">th </w:t>
      </w:r>
      <w:r w:rsidRPr="00172A81">
        <w:rPr>
          <w:rFonts w:ascii="Arial" w:hAnsi="Arial" w:cs="Arial"/>
          <w:bCs/>
          <w:color w:val="auto"/>
        </w:rPr>
        <w:t>paragraph of discussion section</w:t>
      </w:r>
      <w:r>
        <w:rPr>
          <w:rFonts w:ascii="Arial" w:hAnsi="Arial" w:cs="Arial"/>
          <w:bCs/>
          <w:color w:val="auto"/>
        </w:rPr>
        <w:t>.</w:t>
      </w:r>
    </w:p>
    <w:p w:rsidR="00CA3AC6" w:rsidRPr="00753F3F" w:rsidRDefault="00CA3AC6" w:rsidP="00CA3AC6">
      <w:pPr>
        <w:pStyle w:val="Gvde"/>
        <w:widowControl w:val="0"/>
        <w:spacing w:after="240" w:line="360" w:lineRule="auto"/>
        <w:ind w:left="720"/>
        <w:jc w:val="both"/>
        <w:rPr>
          <w:rFonts w:ascii="Arial" w:hAnsi="Arial" w:cs="Arial"/>
        </w:rPr>
      </w:pPr>
    </w:p>
    <w:p w:rsidR="00CA3AC6" w:rsidRDefault="00CA3AC6">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bCs/>
        </w:rPr>
      </w:pPr>
      <w:bookmarkStart w:id="0" w:name="_GoBack"/>
      <w:bookmarkEnd w:id="0"/>
    </w:p>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bCs/>
        </w:rPr>
      </w:pPr>
      <w:r>
        <w:rPr>
          <w:b/>
          <w:bCs/>
        </w:rPr>
        <w:t>Pool text Number : PPID: GMJ1-8207-3115-32</w:t>
      </w:r>
    </w:p>
    <w:p w:rsidR="004F69F8" w:rsidRDefault="000D5DB9">
      <w:pPr>
        <w:pStyle w:val="GvdeA"/>
        <w:widowControl w:val="0"/>
        <w:spacing w:after="240"/>
        <w:jc w:val="center"/>
        <w:rPr>
          <w:b/>
          <w:bCs/>
        </w:rPr>
      </w:pPr>
      <w:r>
        <w:rPr>
          <w:b/>
          <w:bCs/>
        </w:rPr>
        <w:t>Atherosclerosis and Serum Uric Acid Level Association in Acute Stroke</w:t>
      </w:r>
    </w:p>
    <w:p w:rsidR="004F69F8" w:rsidRDefault="000D5DB9">
      <w:pPr>
        <w:pStyle w:val="GvdeA"/>
        <w:widowControl w:val="0"/>
        <w:spacing w:after="240"/>
        <w:jc w:val="center"/>
        <w:rPr>
          <w:b/>
          <w:bCs/>
        </w:rPr>
      </w:pPr>
      <w:proofErr w:type="spellStart"/>
      <w:r>
        <w:t>Akut</w:t>
      </w:r>
      <w:proofErr w:type="spellEnd"/>
      <w:r>
        <w:t xml:space="preserve"> </w:t>
      </w:r>
      <w:proofErr w:type="spellStart"/>
      <w:r>
        <w:rPr>
          <w:rFonts w:hAnsi="Times New Roman"/>
        </w:rPr>
        <w:t>İ</w:t>
      </w:r>
      <w:r>
        <w:t>nmede</w:t>
      </w:r>
      <w:proofErr w:type="spellEnd"/>
      <w:r>
        <w:t xml:space="preserve"> </w:t>
      </w:r>
      <w:proofErr w:type="spellStart"/>
      <w:r>
        <w:t>Ateroskleroz</w:t>
      </w:r>
      <w:proofErr w:type="spellEnd"/>
      <w:r>
        <w:t xml:space="preserve"> </w:t>
      </w:r>
      <w:proofErr w:type="spellStart"/>
      <w:r>
        <w:t>ile</w:t>
      </w:r>
      <w:proofErr w:type="spellEnd"/>
      <w:r>
        <w:t xml:space="preserve"> Serum </w:t>
      </w:r>
      <w:proofErr w:type="spellStart"/>
      <w:r>
        <w:rPr>
          <w:rFonts w:hAnsi="Times New Roman"/>
        </w:rPr>
        <w:t>Ü</w:t>
      </w:r>
      <w:r>
        <w:t>rik</w:t>
      </w:r>
      <w:proofErr w:type="spellEnd"/>
      <w:r>
        <w:t xml:space="preserve"> </w:t>
      </w:r>
      <w:proofErr w:type="spellStart"/>
      <w:proofErr w:type="gramStart"/>
      <w:r>
        <w:t>Asit</w:t>
      </w:r>
      <w:proofErr w:type="spellEnd"/>
      <w:r>
        <w:t xml:space="preserve">  </w:t>
      </w:r>
      <w:proofErr w:type="spellStart"/>
      <w:r>
        <w:t>D</w:t>
      </w:r>
      <w:r>
        <w:rPr>
          <w:rFonts w:hAnsi="Times New Roman"/>
        </w:rPr>
        <w:t>ü</w:t>
      </w:r>
      <w:r>
        <w:t>zeyi</w:t>
      </w:r>
      <w:proofErr w:type="spellEnd"/>
      <w:proofErr w:type="gramEnd"/>
      <w:r>
        <w:t xml:space="preserve"> </w:t>
      </w:r>
      <w:proofErr w:type="spellStart"/>
      <w:r>
        <w:t>Aras</w:t>
      </w:r>
      <w:r>
        <w:rPr>
          <w:rFonts w:hAnsi="Times New Roman"/>
        </w:rPr>
        <w:t>ı</w:t>
      </w:r>
      <w:r>
        <w:t>ndaki</w:t>
      </w:r>
      <w:proofErr w:type="spellEnd"/>
      <w:r>
        <w:t xml:space="preserve"> </w:t>
      </w:r>
      <w:proofErr w:type="spellStart"/>
      <w:r>
        <w:rPr>
          <w:rFonts w:hAnsi="Times New Roman"/>
        </w:rPr>
        <w:t>İ</w:t>
      </w:r>
      <w:r>
        <w:t>li</w:t>
      </w:r>
      <w:r>
        <w:rPr>
          <w:rFonts w:hAnsi="Times New Roman"/>
        </w:rPr>
        <w:t>ş</w:t>
      </w:r>
      <w:r>
        <w:t>ki</w:t>
      </w:r>
      <w:proofErr w:type="spellEnd"/>
    </w:p>
    <w:p w:rsidR="004F69F8" w:rsidRDefault="000D5DB9">
      <w:pPr>
        <w:pStyle w:val="GvdeA"/>
        <w:widowControl w:val="0"/>
        <w:spacing w:after="240"/>
        <w:jc w:val="both"/>
        <w:rPr>
          <w:b/>
          <w:bCs/>
        </w:rPr>
      </w:pPr>
      <w:r>
        <w:rPr>
          <w:b/>
          <w:bCs/>
        </w:rPr>
        <w:t>ABSTRACT</w:t>
      </w:r>
    </w:p>
    <w:p w:rsidR="004F69F8" w:rsidRDefault="000D5DB9">
      <w:pPr>
        <w:pStyle w:val="GvdeA"/>
        <w:widowControl w:val="0"/>
        <w:spacing w:after="240"/>
        <w:jc w:val="both"/>
      </w:pPr>
      <w:r>
        <w:rPr>
          <w:b/>
          <w:bCs/>
        </w:rPr>
        <w:t>Objective:</w:t>
      </w:r>
      <w:r>
        <w:t xml:space="preserve"> We aimed to identify whether high uric acid levels were associated with atherosclerotic intracranial/</w:t>
      </w:r>
      <w:proofErr w:type="spellStart"/>
      <w:r>
        <w:t>extracranial</w:t>
      </w:r>
      <w:proofErr w:type="spellEnd"/>
      <w:r>
        <w:t xml:space="preserve"> arterial stenosis and atrial fibrillation (AF) and to determine if serum uric acid (SUA) levels were an independent risk factor.</w:t>
      </w:r>
    </w:p>
    <w:p w:rsidR="004F69F8" w:rsidRDefault="000D5DB9">
      <w:pPr>
        <w:pStyle w:val="GvdeA"/>
        <w:widowControl w:val="0"/>
        <w:spacing w:after="240"/>
        <w:jc w:val="both"/>
      </w:pPr>
      <w:r>
        <w:rPr>
          <w:b/>
          <w:bCs/>
        </w:rPr>
        <w:t>Methods:</w:t>
      </w:r>
      <w:r>
        <w:t xml:space="preserve"> One hundred seventy-four patients who presented with acute stroke within 24 hours of onset and were admitted to our hospital between December 2016 and September 2017 were included in the study. Bamford classification was used for Stroke classification. The degree of vascular stenosis was classified as lumen contour irregularity, mild, moderate and severe stenosis using the </w:t>
      </w:r>
      <w:proofErr w:type="spellStart"/>
      <w:r>
        <w:t>The</w:t>
      </w:r>
      <w:proofErr w:type="spellEnd"/>
      <w:r>
        <w:t xml:space="preserve"> North American Symptomatic Carotid Endarterectomy Trial (NASCET) criteria.</w:t>
      </w:r>
    </w:p>
    <w:p w:rsidR="004F69F8" w:rsidRDefault="000D5DB9">
      <w:pPr>
        <w:pStyle w:val="GvdeA"/>
        <w:widowControl w:val="0"/>
        <w:spacing w:after="240"/>
        <w:jc w:val="both"/>
      </w:pPr>
      <w:r>
        <w:rPr>
          <w:b/>
          <w:bCs/>
        </w:rPr>
        <w:t>Results:</w:t>
      </w:r>
      <w:r>
        <w:t xml:space="preserve"> The average age of 174 patients was 69 </w:t>
      </w:r>
      <w:r>
        <w:rPr>
          <w:rFonts w:hAnsi="Times New Roman"/>
        </w:rPr>
        <w:t xml:space="preserve">± </w:t>
      </w:r>
      <w:r>
        <w:t xml:space="preserve">12.7 years. Elevated serum uric acid levels </w:t>
      </w:r>
      <w:proofErr w:type="gramStart"/>
      <w:r>
        <w:t>were  found</w:t>
      </w:r>
      <w:proofErr w:type="gramEnd"/>
      <w:r>
        <w:t xml:space="preserve"> in 66 patients. The mean SUA level was 7.33</w:t>
      </w:r>
      <w:r>
        <w:rPr>
          <w:rFonts w:hAnsi="Times New Roman"/>
        </w:rPr>
        <w:t>±</w:t>
      </w:r>
      <w:r>
        <w:t>1.02 mg/</w:t>
      </w:r>
      <w:proofErr w:type="spellStart"/>
      <w:r>
        <w:t>dL</w:t>
      </w:r>
      <w:proofErr w:type="spellEnd"/>
      <w:r>
        <w:t xml:space="preserve"> in these patients. Thirty-six patients were examined with AF and 14 of these patients had high SUA levels. It was found that high SUA levels were mostly related with lacunar infarct (LACI) and partial anterior circulation infarct (PACI), respectively. High SUA levels were seen more commonly in the anterior circulation, especially in the </w:t>
      </w:r>
      <w:proofErr w:type="spellStart"/>
      <w:r>
        <w:t>extracranial</w:t>
      </w:r>
      <w:proofErr w:type="spellEnd"/>
      <w:r>
        <w:t xml:space="preserve"> part of the carotid artery, but this was not statistically significant (</w:t>
      </w:r>
      <w:r>
        <w:rPr>
          <w:i/>
          <w:iCs/>
        </w:rPr>
        <w:t>p</w:t>
      </w:r>
      <w:r>
        <w:t xml:space="preserve">&gt;0.05).  We found a statistically significant relation between high SUA levels in moderate and severe stenosis of the </w:t>
      </w:r>
      <w:proofErr w:type="spellStart"/>
      <w:r>
        <w:t>extracranial</w:t>
      </w:r>
      <w:proofErr w:type="spellEnd"/>
      <w:r>
        <w:t xml:space="preserve"> portion of the posterior circulation in women (</w:t>
      </w:r>
      <w:r>
        <w:rPr>
          <w:i/>
          <w:iCs/>
        </w:rPr>
        <w:t>p</w:t>
      </w:r>
      <w:r>
        <w:t xml:space="preserve">=0.01). There was a relationship between atrial fibrillation and </w:t>
      </w:r>
      <w:proofErr w:type="spellStart"/>
      <w:r>
        <w:t>extracranial</w:t>
      </w:r>
      <w:proofErr w:type="spellEnd"/>
      <w:r>
        <w:t xml:space="preserve"> atherosclerosis of the anterior circulation as contour irregularity and moderate stenosis (</w:t>
      </w:r>
      <w:r>
        <w:rPr>
          <w:i/>
          <w:iCs/>
        </w:rPr>
        <w:t>p</w:t>
      </w:r>
      <w:r>
        <w:t>=0.05).</w:t>
      </w:r>
    </w:p>
    <w:p w:rsidR="001C0E6D" w:rsidRPr="00E356C3" w:rsidRDefault="001C0E6D" w:rsidP="001C0E6D">
      <w:pPr>
        <w:pStyle w:val="Gvde"/>
        <w:widowControl w:val="0"/>
        <w:spacing w:after="240"/>
        <w:jc w:val="both"/>
        <w:rPr>
          <w:rFonts w:hAnsi="Times New Roman" w:cs="Times New Roman"/>
        </w:rPr>
      </w:pPr>
      <w:r w:rsidRPr="00EA131C">
        <w:rPr>
          <w:rFonts w:hAnsi="Times New Roman" w:cs="Times New Roman"/>
          <w:b/>
        </w:rPr>
        <w:t>Conclusions:</w:t>
      </w:r>
      <w:r w:rsidRPr="00E356C3">
        <w:rPr>
          <w:rFonts w:hAnsi="Times New Roman" w:cs="Times New Roman"/>
        </w:rPr>
        <w:t xml:space="preserve"> </w:t>
      </w:r>
      <w:r w:rsidRPr="001C0E6D">
        <w:rPr>
          <w:rFonts w:hAnsi="Times New Roman" w:cs="Times New Roman"/>
          <w:color w:val="auto"/>
          <w:highlight w:val="yellow"/>
        </w:rPr>
        <w:t>In our study, it was found that high SUA levels were related to LACI and PACI, respectively. Further studies with larger groups are needed.</w:t>
      </w:r>
    </w:p>
    <w:p w:rsidR="004F69F8" w:rsidRDefault="004F69F8">
      <w:pPr>
        <w:pStyle w:val="GvdeA"/>
        <w:widowControl w:val="0"/>
        <w:spacing w:after="240"/>
        <w:jc w:val="both"/>
      </w:pPr>
    </w:p>
    <w:p w:rsidR="004F69F8" w:rsidRDefault="000D5DB9">
      <w:pPr>
        <w:pStyle w:val="GvdeA"/>
        <w:widowControl w:val="0"/>
        <w:spacing w:after="240"/>
        <w:jc w:val="both"/>
      </w:pPr>
      <w:r>
        <w:rPr>
          <w:b/>
          <w:bCs/>
        </w:rPr>
        <w:t>Keywords:</w:t>
      </w:r>
      <w:r>
        <w:t xml:space="preserve"> Stroke, Uric acid, Intracranial, </w:t>
      </w:r>
      <w:proofErr w:type="spellStart"/>
      <w:r>
        <w:t>Extracranial</w:t>
      </w:r>
      <w:proofErr w:type="spellEnd"/>
      <w:r>
        <w:t>, Atherosclerosis, Atrial Fibrillation</w:t>
      </w:r>
    </w:p>
    <w:p w:rsidR="004F69F8" w:rsidRDefault="000D5DB9">
      <w:pPr>
        <w:pStyle w:val="Gvde"/>
        <w:spacing w:after="240"/>
        <w:ind w:right="192"/>
        <w:jc w:val="both"/>
        <w:rPr>
          <w:b/>
          <w:bCs/>
        </w:rPr>
      </w:pPr>
      <w:r>
        <w:rPr>
          <w:rFonts w:hAnsi="Times New Roman"/>
          <w:b/>
          <w:bCs/>
          <w:lang w:val="de-DE"/>
        </w:rPr>
        <w:t>Ö</w:t>
      </w:r>
      <w:r>
        <w:rPr>
          <w:b/>
          <w:bCs/>
        </w:rPr>
        <w:t>ZET</w:t>
      </w:r>
    </w:p>
    <w:p w:rsidR="004F69F8" w:rsidRDefault="000D5DB9">
      <w:pPr>
        <w:pStyle w:val="Gvde"/>
        <w:spacing w:after="240"/>
        <w:ind w:right="192"/>
        <w:jc w:val="both"/>
        <w:rPr>
          <w:color w:val="555555"/>
          <w:u w:color="555555"/>
        </w:rPr>
      </w:pPr>
      <w:r>
        <w:rPr>
          <w:b/>
          <w:bCs/>
        </w:rPr>
        <w:t>Ama</w:t>
      </w:r>
      <w:r>
        <w:rPr>
          <w:rFonts w:hAnsi="Times New Roman"/>
          <w:b/>
          <w:bCs/>
        </w:rPr>
        <w:t>ç</w:t>
      </w:r>
      <w:r>
        <w:rPr>
          <w:b/>
          <w:bCs/>
        </w:rPr>
        <w:t>:</w:t>
      </w:r>
      <w:r>
        <w:t xml:space="preserve"> Bu</w:t>
      </w:r>
      <w:r>
        <w:rPr>
          <w:rFonts w:hAnsi="Times New Roman"/>
        </w:rPr>
        <w:t> ç</w:t>
      </w:r>
      <w:r>
        <w:t>al</w:t>
      </w:r>
      <w:r>
        <w:rPr>
          <w:rFonts w:hAnsi="Times New Roman"/>
        </w:rPr>
        <w:t>ış</w:t>
      </w:r>
      <w:r>
        <w:rPr>
          <w:lang w:val="pt-PT"/>
        </w:rPr>
        <w:t>mada amac</w:t>
      </w:r>
      <w:r>
        <w:rPr>
          <w:rFonts w:hAnsi="Times New Roman"/>
        </w:rPr>
        <w:t>ı</w:t>
      </w:r>
      <w:r>
        <w:t>m</w:t>
      </w:r>
      <w:r>
        <w:rPr>
          <w:rFonts w:hAnsi="Times New Roman"/>
        </w:rPr>
        <w:t>ı</w:t>
      </w:r>
      <w:r>
        <w:t>z,</w:t>
      </w:r>
      <w:r>
        <w:rPr>
          <w:rFonts w:hAnsi="Times New Roman"/>
        </w:rPr>
        <w:t> </w:t>
      </w:r>
      <w:r>
        <w:t xml:space="preserve">serum </w:t>
      </w:r>
      <w:r>
        <w:rPr>
          <w:rFonts w:hAnsi="Times New Roman"/>
        </w:rPr>
        <w:t>ü</w:t>
      </w:r>
      <w:r>
        <w:t>rik asit d</w:t>
      </w:r>
      <w:r>
        <w:rPr>
          <w:rFonts w:hAnsi="Times New Roman"/>
        </w:rPr>
        <w:t>ü</w:t>
      </w:r>
      <w:r>
        <w:t>zeyleri ile aterosklerotik intrakranial/ekstrakranial arteriyel skleroz ve atriyal fibrilasyon (AF) aras</w:t>
      </w:r>
      <w:r>
        <w:rPr>
          <w:rFonts w:hAnsi="Times New Roman"/>
        </w:rPr>
        <w:t>ı</w:t>
      </w:r>
      <w:r>
        <w:t>ndaki ili</w:t>
      </w:r>
      <w:r>
        <w:rPr>
          <w:rFonts w:hAnsi="Times New Roman"/>
        </w:rPr>
        <w:t>ş</w:t>
      </w:r>
      <w:r>
        <w:t>kiyi belirlemek ve y</w:t>
      </w:r>
      <w:r>
        <w:rPr>
          <w:rFonts w:hAnsi="Times New Roman"/>
        </w:rPr>
        <w:t>ü</w:t>
      </w:r>
      <w:r>
        <w:t xml:space="preserve">ksek serum </w:t>
      </w:r>
      <w:r>
        <w:rPr>
          <w:rFonts w:hAnsi="Times New Roman"/>
        </w:rPr>
        <w:t>ü</w:t>
      </w:r>
      <w:r>
        <w:t>rik asit (SUA) d</w:t>
      </w:r>
      <w:r>
        <w:rPr>
          <w:rFonts w:hAnsi="Times New Roman"/>
        </w:rPr>
        <w:t>ü</w:t>
      </w:r>
      <w:r>
        <w:t>zeyinin ba</w:t>
      </w:r>
      <w:r>
        <w:rPr>
          <w:rFonts w:hAnsi="Times New Roman"/>
        </w:rPr>
        <w:t>ğı</w:t>
      </w:r>
      <w:r>
        <w:t>ms</w:t>
      </w:r>
      <w:r>
        <w:rPr>
          <w:rFonts w:hAnsi="Times New Roman"/>
        </w:rPr>
        <w:t>ı</w:t>
      </w:r>
      <w:r>
        <w:t>z bir risk fakt</w:t>
      </w:r>
      <w:r>
        <w:rPr>
          <w:rFonts w:hAnsi="Times New Roman"/>
        </w:rPr>
        <w:t>ö</w:t>
      </w:r>
      <w:r>
        <w:t>r</w:t>
      </w:r>
      <w:r>
        <w:rPr>
          <w:rFonts w:hAnsi="Times New Roman"/>
        </w:rPr>
        <w:t xml:space="preserve">ü </w:t>
      </w:r>
      <w:r>
        <w:t>olup olmad</w:t>
      </w:r>
      <w:r>
        <w:rPr>
          <w:rFonts w:hAnsi="Times New Roman"/>
        </w:rPr>
        <w:t>ığı</w:t>
      </w:r>
      <w:r>
        <w:t>n</w:t>
      </w:r>
      <w:r>
        <w:rPr>
          <w:rFonts w:hAnsi="Times New Roman"/>
        </w:rPr>
        <w:t xml:space="preserve">ı </w:t>
      </w:r>
      <w:r>
        <w:t>saptamakt</w:t>
      </w:r>
      <w:r>
        <w:rPr>
          <w:rFonts w:hAnsi="Times New Roman"/>
        </w:rPr>
        <w:t>ı</w:t>
      </w:r>
      <w:r>
        <w:t xml:space="preserve">r. </w:t>
      </w:r>
      <w:r>
        <w:rPr>
          <w:rFonts w:hAnsi="Times New Roman"/>
        </w:rPr>
        <w:t> </w:t>
      </w:r>
    </w:p>
    <w:p w:rsidR="004F69F8" w:rsidRDefault="000D5DB9">
      <w:pPr>
        <w:pStyle w:val="Gvde"/>
        <w:spacing w:after="240"/>
        <w:ind w:right="192"/>
        <w:jc w:val="both"/>
      </w:pPr>
      <w:r>
        <w:rPr>
          <w:b/>
          <w:bCs/>
        </w:rPr>
        <w:t>Y</w:t>
      </w:r>
      <w:r>
        <w:rPr>
          <w:rFonts w:hAnsi="Times New Roman"/>
          <w:b/>
          <w:bCs/>
        </w:rPr>
        <w:t>ö</w:t>
      </w:r>
      <w:r>
        <w:rPr>
          <w:b/>
          <w:bCs/>
        </w:rPr>
        <w:t>ntem:</w:t>
      </w:r>
      <w:r>
        <w:rPr>
          <w:color w:val="555555"/>
          <w:u w:color="555555"/>
        </w:rPr>
        <w:t xml:space="preserve"> </w:t>
      </w:r>
      <w:r>
        <w:rPr>
          <w:rFonts w:hAnsi="Times New Roman"/>
        </w:rPr>
        <w:t>Ç</w:t>
      </w:r>
      <w:r>
        <w:t>al</w:t>
      </w:r>
      <w:r>
        <w:rPr>
          <w:rFonts w:hAnsi="Times New Roman"/>
        </w:rPr>
        <w:t>ış</w:t>
      </w:r>
      <w:r>
        <w:t>maya, Aral</w:t>
      </w:r>
      <w:r>
        <w:rPr>
          <w:rFonts w:hAnsi="Times New Roman"/>
        </w:rPr>
        <w:t>ı</w:t>
      </w:r>
      <w:r>
        <w:t>k 2016 ve Kas</w:t>
      </w:r>
      <w:r>
        <w:rPr>
          <w:rFonts w:hAnsi="Times New Roman"/>
        </w:rPr>
        <w:t>ı</w:t>
      </w:r>
      <w:r>
        <w:t>m 2017 tarihleri aras</w:t>
      </w:r>
      <w:r>
        <w:rPr>
          <w:rFonts w:hAnsi="Times New Roman"/>
        </w:rPr>
        <w:t>ı</w:t>
      </w:r>
      <w:r>
        <w:t>nda hastanemize akut inmenin ilk 24 saati i</w:t>
      </w:r>
      <w:r>
        <w:rPr>
          <w:rFonts w:hAnsi="Times New Roman"/>
        </w:rPr>
        <w:t>ç</w:t>
      </w:r>
      <w:r>
        <w:t xml:space="preserve">erisinde gelen 174 </w:t>
      </w:r>
      <w:r>
        <w:rPr>
          <w:rFonts w:hAnsi="Times New Roman"/>
        </w:rPr>
        <w:t> </w:t>
      </w:r>
      <w:r>
        <w:t xml:space="preserve">hasta dahil edildi. </w:t>
      </w:r>
      <w:r>
        <w:rPr>
          <w:rFonts w:hAnsi="Times New Roman"/>
        </w:rPr>
        <w:t>İ</w:t>
      </w:r>
      <w:r>
        <w:t>nme s</w:t>
      </w:r>
      <w:r>
        <w:rPr>
          <w:rFonts w:hAnsi="Times New Roman"/>
        </w:rPr>
        <w:t>ı</w:t>
      </w:r>
      <w:r>
        <w:t>n</w:t>
      </w:r>
      <w:r>
        <w:rPr>
          <w:rFonts w:hAnsi="Times New Roman"/>
        </w:rPr>
        <w:t>ı</w:t>
      </w:r>
      <w:r>
        <w:t>fland</w:t>
      </w:r>
      <w:r>
        <w:rPr>
          <w:rFonts w:hAnsi="Times New Roman"/>
        </w:rPr>
        <w:t>ı</w:t>
      </w:r>
      <w:r>
        <w:t>rmas</w:t>
      </w:r>
      <w:r>
        <w:rPr>
          <w:rFonts w:hAnsi="Times New Roman"/>
        </w:rPr>
        <w:t xml:space="preserve">ı </w:t>
      </w:r>
      <w:r>
        <w:t>i</w:t>
      </w:r>
      <w:r>
        <w:rPr>
          <w:rFonts w:hAnsi="Times New Roman"/>
        </w:rPr>
        <w:t>ç</w:t>
      </w:r>
      <w:r>
        <w:t>in Bamford s</w:t>
      </w:r>
      <w:r>
        <w:rPr>
          <w:rFonts w:hAnsi="Times New Roman"/>
        </w:rPr>
        <w:t>ı</w:t>
      </w:r>
      <w:r>
        <w:t>n</w:t>
      </w:r>
      <w:r>
        <w:rPr>
          <w:rFonts w:hAnsi="Times New Roman"/>
        </w:rPr>
        <w:t>ı</w:t>
      </w:r>
      <w:r>
        <w:t>fland</w:t>
      </w:r>
      <w:r>
        <w:rPr>
          <w:rFonts w:hAnsi="Times New Roman"/>
        </w:rPr>
        <w:t>ı</w:t>
      </w:r>
      <w:r>
        <w:t>rmas</w:t>
      </w:r>
      <w:r>
        <w:rPr>
          <w:rFonts w:hAnsi="Times New Roman"/>
        </w:rPr>
        <w:t xml:space="preserve">ı </w:t>
      </w:r>
      <w:r>
        <w:t>kullan</w:t>
      </w:r>
      <w:r>
        <w:rPr>
          <w:rFonts w:hAnsi="Times New Roman"/>
        </w:rPr>
        <w:t>ı</w:t>
      </w:r>
      <w:r>
        <w:t>ld</w:t>
      </w:r>
      <w:r>
        <w:rPr>
          <w:rFonts w:hAnsi="Times New Roman"/>
        </w:rPr>
        <w:t>ı</w:t>
      </w:r>
      <w:r>
        <w:t xml:space="preserve">. Vaskuler stenozun derecesi, </w:t>
      </w:r>
      <w:r>
        <w:rPr>
          <w:rFonts w:hAnsi="Times New Roman"/>
        </w:rPr>
        <w:t> </w:t>
      </w:r>
      <w:r>
        <w:t xml:space="preserve">Kuzey Amerika Semptomatik Karotis Endarterektomi </w:t>
      </w:r>
      <w:r>
        <w:rPr>
          <w:rFonts w:hAnsi="Times New Roman"/>
        </w:rPr>
        <w:t>Ç</w:t>
      </w:r>
      <w:r>
        <w:t>al</w:t>
      </w:r>
      <w:r>
        <w:rPr>
          <w:rFonts w:hAnsi="Times New Roman"/>
        </w:rPr>
        <w:t>ış</w:t>
      </w:r>
      <w:r>
        <w:t>ma kriterleri (NASCET)</w:t>
      </w:r>
      <w:r>
        <w:rPr>
          <w:rFonts w:hAnsi="Times New Roman"/>
        </w:rPr>
        <w:t xml:space="preserve">  </w:t>
      </w:r>
      <w:r>
        <w:t>kullan</w:t>
      </w:r>
      <w:r>
        <w:rPr>
          <w:rFonts w:hAnsi="Times New Roman"/>
        </w:rPr>
        <w:t>ı</w:t>
      </w:r>
      <w:r>
        <w:t>larak, l</w:t>
      </w:r>
      <w:r>
        <w:rPr>
          <w:rFonts w:hAnsi="Times New Roman"/>
        </w:rPr>
        <w:t>ü</w:t>
      </w:r>
      <w:r>
        <w:t>men kontur d</w:t>
      </w:r>
      <w:r>
        <w:rPr>
          <w:rFonts w:hAnsi="Times New Roman"/>
        </w:rPr>
        <w:t>ü</w:t>
      </w:r>
      <w:r>
        <w:t>zensizli</w:t>
      </w:r>
      <w:r>
        <w:rPr>
          <w:rFonts w:hAnsi="Times New Roman"/>
        </w:rPr>
        <w:t>ğ</w:t>
      </w:r>
      <w:r>
        <w:t>i, hafif, orta ve a</w:t>
      </w:r>
      <w:r>
        <w:rPr>
          <w:rFonts w:hAnsi="Times New Roman"/>
        </w:rPr>
        <w:t>ğı</w:t>
      </w:r>
      <w:r>
        <w:t>r olarak s</w:t>
      </w:r>
      <w:r>
        <w:rPr>
          <w:rFonts w:hAnsi="Times New Roman"/>
        </w:rPr>
        <w:t>ı</w:t>
      </w:r>
      <w:r>
        <w:t>n</w:t>
      </w:r>
      <w:r>
        <w:rPr>
          <w:rFonts w:hAnsi="Times New Roman"/>
        </w:rPr>
        <w:t>ı</w:t>
      </w:r>
      <w:r>
        <w:t>fland</w:t>
      </w:r>
      <w:r>
        <w:rPr>
          <w:rFonts w:hAnsi="Times New Roman"/>
        </w:rPr>
        <w:t>ı</w:t>
      </w:r>
      <w:r>
        <w:t>r</w:t>
      </w:r>
      <w:r>
        <w:rPr>
          <w:rFonts w:hAnsi="Times New Roman"/>
        </w:rPr>
        <w:t>ı</w:t>
      </w:r>
      <w:r>
        <w:t>ld</w:t>
      </w:r>
      <w:r>
        <w:rPr>
          <w:rFonts w:hAnsi="Times New Roman"/>
        </w:rPr>
        <w:t>ı</w:t>
      </w:r>
      <w:r>
        <w:t>.</w:t>
      </w:r>
    </w:p>
    <w:p w:rsidR="004F69F8" w:rsidRDefault="000D5DB9">
      <w:pPr>
        <w:pStyle w:val="GvdeA"/>
        <w:widowControl w:val="0"/>
        <w:spacing w:after="240"/>
        <w:jc w:val="both"/>
        <w:rPr>
          <w:color w:val="222222"/>
        </w:rPr>
      </w:pPr>
      <w:proofErr w:type="spellStart"/>
      <w:r>
        <w:rPr>
          <w:b/>
          <w:bCs/>
          <w:color w:val="222222"/>
        </w:rPr>
        <w:t>Bulgular</w:t>
      </w:r>
      <w:proofErr w:type="spellEnd"/>
      <w:r>
        <w:rPr>
          <w:b/>
          <w:bCs/>
          <w:color w:val="222222"/>
        </w:rPr>
        <w:t>:</w:t>
      </w:r>
      <w:r>
        <w:rPr>
          <w:color w:val="222222"/>
        </w:rPr>
        <w:t xml:space="preserve"> </w:t>
      </w:r>
      <w:proofErr w:type="spellStart"/>
      <w:r>
        <w:rPr>
          <w:rFonts w:hAnsi="Times New Roman"/>
          <w:color w:val="222222"/>
        </w:rPr>
        <w:t>Ç</w:t>
      </w:r>
      <w:r>
        <w:rPr>
          <w:color w:val="222222"/>
        </w:rPr>
        <w:t>al</w:t>
      </w:r>
      <w:r>
        <w:rPr>
          <w:rFonts w:hAnsi="Times New Roman"/>
          <w:color w:val="222222"/>
        </w:rPr>
        <w:t>ış</w:t>
      </w:r>
      <w:r>
        <w:rPr>
          <w:color w:val="222222"/>
        </w:rPr>
        <w:t>maya</w:t>
      </w:r>
      <w:proofErr w:type="spellEnd"/>
      <w:r>
        <w:rPr>
          <w:color w:val="222222"/>
        </w:rPr>
        <w:t xml:space="preserve"> </w:t>
      </w:r>
      <w:proofErr w:type="spellStart"/>
      <w:r>
        <w:rPr>
          <w:color w:val="222222"/>
        </w:rPr>
        <w:t>al</w:t>
      </w:r>
      <w:r>
        <w:rPr>
          <w:rFonts w:hAnsi="Times New Roman"/>
          <w:color w:val="222222"/>
        </w:rPr>
        <w:t>ı</w:t>
      </w:r>
      <w:r>
        <w:rPr>
          <w:color w:val="222222"/>
        </w:rPr>
        <w:t>nan</w:t>
      </w:r>
      <w:proofErr w:type="spellEnd"/>
      <w:r>
        <w:rPr>
          <w:color w:val="222222"/>
        </w:rPr>
        <w:t xml:space="preserve"> 174 </w:t>
      </w:r>
      <w:proofErr w:type="spellStart"/>
      <w:r>
        <w:rPr>
          <w:color w:val="222222"/>
        </w:rPr>
        <w:t>hastan</w:t>
      </w:r>
      <w:r>
        <w:rPr>
          <w:rFonts w:hAnsi="Times New Roman"/>
          <w:color w:val="222222"/>
        </w:rPr>
        <w:t>ı</w:t>
      </w:r>
      <w:r>
        <w:rPr>
          <w:color w:val="222222"/>
        </w:rPr>
        <w:t>n</w:t>
      </w:r>
      <w:proofErr w:type="spellEnd"/>
      <w:r>
        <w:rPr>
          <w:color w:val="222222"/>
        </w:rPr>
        <w:t xml:space="preserve"> </w:t>
      </w:r>
      <w:proofErr w:type="spellStart"/>
      <w:r>
        <w:rPr>
          <w:color w:val="222222"/>
        </w:rPr>
        <w:t>ya</w:t>
      </w:r>
      <w:r>
        <w:rPr>
          <w:rFonts w:hAnsi="Times New Roman"/>
          <w:color w:val="222222"/>
        </w:rPr>
        <w:t>ş</w:t>
      </w:r>
      <w:proofErr w:type="spellEnd"/>
      <w:r>
        <w:rPr>
          <w:color w:val="222222"/>
        </w:rPr>
        <w:t xml:space="preserve"> </w:t>
      </w:r>
      <w:proofErr w:type="spellStart"/>
      <w:r>
        <w:rPr>
          <w:color w:val="222222"/>
        </w:rPr>
        <w:t>ortalamas</w:t>
      </w:r>
      <w:r>
        <w:rPr>
          <w:rFonts w:hAnsi="Times New Roman"/>
          <w:color w:val="222222"/>
        </w:rPr>
        <w:t>ı</w:t>
      </w:r>
      <w:proofErr w:type="spellEnd"/>
      <w:r>
        <w:rPr>
          <w:color w:val="222222"/>
        </w:rPr>
        <w:t xml:space="preserve"> 69 </w:t>
      </w:r>
      <w:r>
        <w:rPr>
          <w:rFonts w:hAnsi="Times New Roman"/>
          <w:color w:val="222222"/>
        </w:rPr>
        <w:t xml:space="preserve">± </w:t>
      </w:r>
      <w:r>
        <w:rPr>
          <w:color w:val="222222"/>
        </w:rPr>
        <w:t xml:space="preserve">12.7 </w:t>
      </w:r>
      <w:proofErr w:type="spellStart"/>
      <w:r>
        <w:rPr>
          <w:color w:val="222222"/>
        </w:rPr>
        <w:t>idi</w:t>
      </w:r>
      <w:proofErr w:type="spellEnd"/>
      <w:r>
        <w:rPr>
          <w:color w:val="222222"/>
        </w:rPr>
        <w:t xml:space="preserve">. Serum </w:t>
      </w:r>
      <w:proofErr w:type="spellStart"/>
      <w:r>
        <w:rPr>
          <w:rFonts w:hAnsi="Times New Roman"/>
          <w:color w:val="222222"/>
        </w:rPr>
        <w:t>ü</w:t>
      </w:r>
      <w:r>
        <w:rPr>
          <w:color w:val="222222"/>
        </w:rPr>
        <w:t>rik</w:t>
      </w:r>
      <w:proofErr w:type="spellEnd"/>
      <w:r>
        <w:rPr>
          <w:color w:val="222222"/>
        </w:rPr>
        <w:t xml:space="preserve"> </w:t>
      </w:r>
      <w:proofErr w:type="spellStart"/>
      <w:r>
        <w:rPr>
          <w:color w:val="222222"/>
        </w:rPr>
        <w:t>asit</w:t>
      </w:r>
      <w:proofErr w:type="spellEnd"/>
      <w:r>
        <w:rPr>
          <w:color w:val="222222"/>
        </w:rPr>
        <w:t xml:space="preserve"> </w:t>
      </w:r>
      <w:proofErr w:type="spellStart"/>
      <w:r>
        <w:rPr>
          <w:color w:val="222222"/>
        </w:rPr>
        <w:t>d</w:t>
      </w:r>
      <w:r>
        <w:rPr>
          <w:rFonts w:hAnsi="Times New Roman"/>
          <w:color w:val="222222"/>
        </w:rPr>
        <w:t>ü</w:t>
      </w:r>
      <w:r>
        <w:rPr>
          <w:color w:val="222222"/>
        </w:rPr>
        <w:t>zeyi</w:t>
      </w:r>
      <w:proofErr w:type="spellEnd"/>
      <w:r>
        <w:rPr>
          <w:color w:val="222222"/>
        </w:rPr>
        <w:t xml:space="preserve"> 66 </w:t>
      </w:r>
      <w:proofErr w:type="spellStart"/>
      <w:r>
        <w:rPr>
          <w:color w:val="222222"/>
        </w:rPr>
        <w:t>hastada</w:t>
      </w:r>
      <w:proofErr w:type="spellEnd"/>
      <w:r>
        <w:rPr>
          <w:color w:val="222222"/>
        </w:rPr>
        <w:t xml:space="preserve"> </w:t>
      </w:r>
      <w:proofErr w:type="spellStart"/>
      <w:r>
        <w:rPr>
          <w:color w:val="222222"/>
        </w:rPr>
        <w:t>y</w:t>
      </w:r>
      <w:r>
        <w:rPr>
          <w:rFonts w:hAnsi="Times New Roman"/>
          <w:color w:val="222222"/>
        </w:rPr>
        <w:t>ü</w:t>
      </w:r>
      <w:r>
        <w:rPr>
          <w:color w:val="222222"/>
        </w:rPr>
        <w:t>ksek</w:t>
      </w:r>
      <w:proofErr w:type="spellEnd"/>
      <w:r>
        <w:rPr>
          <w:color w:val="222222"/>
        </w:rPr>
        <w:t xml:space="preserve"> </w:t>
      </w:r>
      <w:proofErr w:type="spellStart"/>
      <w:r>
        <w:rPr>
          <w:color w:val="222222"/>
        </w:rPr>
        <w:t>bulundu</w:t>
      </w:r>
      <w:proofErr w:type="spellEnd"/>
      <w:r>
        <w:rPr>
          <w:color w:val="222222"/>
        </w:rPr>
        <w:t xml:space="preserve">. Bu </w:t>
      </w:r>
      <w:proofErr w:type="spellStart"/>
      <w:r>
        <w:rPr>
          <w:color w:val="222222"/>
        </w:rPr>
        <w:t>hastalarda</w:t>
      </w:r>
      <w:proofErr w:type="spellEnd"/>
      <w:r>
        <w:rPr>
          <w:color w:val="222222"/>
        </w:rPr>
        <w:t xml:space="preserve"> </w:t>
      </w:r>
      <w:proofErr w:type="spellStart"/>
      <w:r>
        <w:rPr>
          <w:color w:val="222222"/>
        </w:rPr>
        <w:t>ortalama</w:t>
      </w:r>
      <w:proofErr w:type="spellEnd"/>
      <w:r>
        <w:rPr>
          <w:color w:val="222222"/>
        </w:rPr>
        <w:t xml:space="preserve"> serum </w:t>
      </w:r>
      <w:proofErr w:type="spellStart"/>
      <w:r>
        <w:rPr>
          <w:rFonts w:hAnsi="Times New Roman"/>
          <w:color w:val="222222"/>
        </w:rPr>
        <w:t>ü</w:t>
      </w:r>
      <w:r>
        <w:rPr>
          <w:color w:val="222222"/>
        </w:rPr>
        <w:t>rik</w:t>
      </w:r>
      <w:proofErr w:type="spellEnd"/>
      <w:r>
        <w:rPr>
          <w:color w:val="222222"/>
        </w:rPr>
        <w:t xml:space="preserve"> </w:t>
      </w:r>
      <w:proofErr w:type="spellStart"/>
      <w:r>
        <w:rPr>
          <w:color w:val="222222"/>
        </w:rPr>
        <w:t>asit</w:t>
      </w:r>
      <w:proofErr w:type="spellEnd"/>
      <w:r>
        <w:rPr>
          <w:color w:val="222222"/>
        </w:rPr>
        <w:t xml:space="preserve"> </w:t>
      </w:r>
      <w:proofErr w:type="spellStart"/>
      <w:r>
        <w:rPr>
          <w:color w:val="222222"/>
        </w:rPr>
        <w:t>seviyesi</w:t>
      </w:r>
      <w:proofErr w:type="spellEnd"/>
      <w:r>
        <w:rPr>
          <w:color w:val="222222"/>
        </w:rPr>
        <w:t xml:space="preserve"> 7.33 </w:t>
      </w:r>
      <w:r>
        <w:rPr>
          <w:rFonts w:hAnsi="Times New Roman"/>
          <w:color w:val="222222"/>
        </w:rPr>
        <w:t xml:space="preserve">± </w:t>
      </w:r>
      <w:r>
        <w:rPr>
          <w:color w:val="222222"/>
        </w:rPr>
        <w:t xml:space="preserve">1.02 mg / </w:t>
      </w:r>
      <w:proofErr w:type="spellStart"/>
      <w:r>
        <w:rPr>
          <w:color w:val="222222"/>
        </w:rPr>
        <w:t>dL</w:t>
      </w:r>
      <w:proofErr w:type="spellEnd"/>
      <w:r>
        <w:rPr>
          <w:color w:val="222222"/>
        </w:rPr>
        <w:t xml:space="preserve"> </w:t>
      </w:r>
      <w:proofErr w:type="spellStart"/>
      <w:r>
        <w:rPr>
          <w:color w:val="222222"/>
        </w:rPr>
        <w:t>idi</w:t>
      </w:r>
      <w:proofErr w:type="spellEnd"/>
      <w:r>
        <w:rPr>
          <w:color w:val="222222"/>
        </w:rPr>
        <w:t xml:space="preserve">. AF 36 </w:t>
      </w:r>
      <w:proofErr w:type="spellStart"/>
      <w:r>
        <w:rPr>
          <w:color w:val="222222"/>
        </w:rPr>
        <w:t>hastada</w:t>
      </w:r>
      <w:proofErr w:type="spellEnd"/>
      <w:r>
        <w:rPr>
          <w:color w:val="222222"/>
        </w:rPr>
        <w:t xml:space="preserve"> </w:t>
      </w:r>
      <w:proofErr w:type="spellStart"/>
      <w:r>
        <w:rPr>
          <w:color w:val="222222"/>
        </w:rPr>
        <w:t>belirlendi</w:t>
      </w:r>
      <w:proofErr w:type="spellEnd"/>
      <w:r>
        <w:rPr>
          <w:color w:val="222222"/>
        </w:rPr>
        <w:t xml:space="preserve"> </w:t>
      </w:r>
      <w:proofErr w:type="spellStart"/>
      <w:r>
        <w:rPr>
          <w:color w:val="222222"/>
        </w:rPr>
        <w:t>ve</w:t>
      </w:r>
      <w:proofErr w:type="spellEnd"/>
      <w:r>
        <w:rPr>
          <w:color w:val="222222"/>
        </w:rPr>
        <w:t xml:space="preserve"> </w:t>
      </w:r>
      <w:proofErr w:type="spellStart"/>
      <w:r>
        <w:rPr>
          <w:color w:val="222222"/>
        </w:rPr>
        <w:t>bu</w:t>
      </w:r>
      <w:proofErr w:type="spellEnd"/>
      <w:r>
        <w:rPr>
          <w:color w:val="222222"/>
        </w:rPr>
        <w:t xml:space="preserve"> </w:t>
      </w:r>
      <w:proofErr w:type="spellStart"/>
      <w:r>
        <w:rPr>
          <w:color w:val="222222"/>
        </w:rPr>
        <w:t>hastalar</w:t>
      </w:r>
      <w:r>
        <w:rPr>
          <w:rFonts w:hAnsi="Times New Roman"/>
          <w:color w:val="222222"/>
        </w:rPr>
        <w:t>ı</w:t>
      </w:r>
      <w:r>
        <w:rPr>
          <w:color w:val="222222"/>
        </w:rPr>
        <w:t>n</w:t>
      </w:r>
      <w:proofErr w:type="spellEnd"/>
      <w:r>
        <w:rPr>
          <w:color w:val="222222"/>
        </w:rPr>
        <w:t xml:space="preserve"> 14'</w:t>
      </w:r>
      <w:r>
        <w:rPr>
          <w:rFonts w:hAnsi="Times New Roman"/>
          <w:color w:val="222222"/>
        </w:rPr>
        <w:t>ü</w:t>
      </w:r>
      <w:r>
        <w:rPr>
          <w:color w:val="222222"/>
        </w:rPr>
        <w:t xml:space="preserve">nde </w:t>
      </w:r>
      <w:proofErr w:type="spellStart"/>
      <w:r>
        <w:rPr>
          <w:color w:val="222222"/>
        </w:rPr>
        <w:t>y</w:t>
      </w:r>
      <w:r>
        <w:rPr>
          <w:rFonts w:hAnsi="Times New Roman"/>
          <w:color w:val="222222"/>
        </w:rPr>
        <w:t>ü</w:t>
      </w:r>
      <w:r>
        <w:rPr>
          <w:color w:val="222222"/>
        </w:rPr>
        <w:t>ksek</w:t>
      </w:r>
      <w:proofErr w:type="spellEnd"/>
      <w:r>
        <w:rPr>
          <w:color w:val="222222"/>
        </w:rPr>
        <w:t xml:space="preserve"> SUA </w:t>
      </w:r>
      <w:proofErr w:type="spellStart"/>
      <w:r>
        <w:rPr>
          <w:color w:val="222222"/>
        </w:rPr>
        <w:t>d</w:t>
      </w:r>
      <w:r>
        <w:rPr>
          <w:rFonts w:hAnsi="Times New Roman"/>
          <w:color w:val="222222"/>
        </w:rPr>
        <w:t>ü</w:t>
      </w:r>
      <w:r>
        <w:rPr>
          <w:color w:val="222222"/>
        </w:rPr>
        <w:t>zeyleri</w:t>
      </w:r>
      <w:proofErr w:type="spellEnd"/>
      <w:r>
        <w:rPr>
          <w:color w:val="222222"/>
        </w:rPr>
        <w:t xml:space="preserve"> </w:t>
      </w:r>
      <w:proofErr w:type="spellStart"/>
      <w:r>
        <w:rPr>
          <w:color w:val="222222"/>
        </w:rPr>
        <w:t>vard</w:t>
      </w:r>
      <w:r>
        <w:rPr>
          <w:rFonts w:hAnsi="Times New Roman"/>
          <w:color w:val="222222"/>
        </w:rPr>
        <w:t>ı</w:t>
      </w:r>
      <w:proofErr w:type="spellEnd"/>
      <w:r>
        <w:rPr>
          <w:color w:val="222222"/>
        </w:rPr>
        <w:t xml:space="preserve">. </w:t>
      </w:r>
      <w:proofErr w:type="spellStart"/>
      <w:r>
        <w:rPr>
          <w:color w:val="222222"/>
        </w:rPr>
        <w:t>Y</w:t>
      </w:r>
      <w:r>
        <w:rPr>
          <w:rFonts w:hAnsi="Times New Roman"/>
          <w:color w:val="222222"/>
        </w:rPr>
        <w:t>ü</w:t>
      </w:r>
      <w:r>
        <w:rPr>
          <w:color w:val="222222"/>
        </w:rPr>
        <w:t>ksek</w:t>
      </w:r>
      <w:proofErr w:type="spellEnd"/>
      <w:r>
        <w:rPr>
          <w:color w:val="222222"/>
        </w:rPr>
        <w:t xml:space="preserve"> SUA </w:t>
      </w:r>
      <w:proofErr w:type="spellStart"/>
      <w:r>
        <w:rPr>
          <w:color w:val="222222"/>
        </w:rPr>
        <w:t>d</w:t>
      </w:r>
      <w:r>
        <w:rPr>
          <w:rFonts w:hAnsi="Times New Roman"/>
          <w:color w:val="222222"/>
        </w:rPr>
        <w:t>ü</w:t>
      </w:r>
      <w:r>
        <w:rPr>
          <w:color w:val="222222"/>
        </w:rPr>
        <w:t>zeylerinin</w:t>
      </w:r>
      <w:proofErr w:type="spellEnd"/>
      <w:r>
        <w:rPr>
          <w:color w:val="222222"/>
        </w:rPr>
        <w:t xml:space="preserve"> </w:t>
      </w:r>
      <w:proofErr w:type="spellStart"/>
      <w:r>
        <w:rPr>
          <w:color w:val="222222"/>
        </w:rPr>
        <w:t>daha</w:t>
      </w:r>
      <w:proofErr w:type="spellEnd"/>
      <w:r>
        <w:rPr>
          <w:color w:val="222222"/>
        </w:rPr>
        <w:t xml:space="preserve"> </w:t>
      </w:r>
      <w:proofErr w:type="spellStart"/>
      <w:r>
        <w:rPr>
          <w:rFonts w:hAnsi="Times New Roman"/>
          <w:color w:val="222222"/>
        </w:rPr>
        <w:t>ç</w:t>
      </w:r>
      <w:r>
        <w:rPr>
          <w:color w:val="222222"/>
        </w:rPr>
        <w:t>ok</w:t>
      </w:r>
      <w:proofErr w:type="spellEnd"/>
      <w:r>
        <w:rPr>
          <w:color w:val="222222"/>
        </w:rPr>
        <w:t xml:space="preserve"> </w:t>
      </w:r>
      <w:proofErr w:type="spellStart"/>
      <w:r>
        <w:rPr>
          <w:color w:val="222222"/>
        </w:rPr>
        <w:t>s</w:t>
      </w:r>
      <w:r>
        <w:rPr>
          <w:rFonts w:hAnsi="Times New Roman"/>
          <w:color w:val="222222"/>
        </w:rPr>
        <w:t>ı</w:t>
      </w:r>
      <w:r>
        <w:rPr>
          <w:color w:val="222222"/>
        </w:rPr>
        <w:t>ras</w:t>
      </w:r>
      <w:r>
        <w:rPr>
          <w:rFonts w:hAnsi="Times New Roman"/>
          <w:color w:val="222222"/>
        </w:rPr>
        <w:t>ı</w:t>
      </w:r>
      <w:r>
        <w:rPr>
          <w:color w:val="222222"/>
        </w:rPr>
        <w:t>yla</w:t>
      </w:r>
      <w:proofErr w:type="spellEnd"/>
      <w:r>
        <w:rPr>
          <w:color w:val="222222"/>
        </w:rPr>
        <w:t xml:space="preserve"> </w:t>
      </w:r>
      <w:proofErr w:type="spellStart"/>
      <w:r>
        <w:rPr>
          <w:color w:val="222222"/>
        </w:rPr>
        <w:t>lak</w:t>
      </w:r>
      <w:r>
        <w:rPr>
          <w:rFonts w:hAnsi="Times New Roman"/>
          <w:color w:val="222222"/>
        </w:rPr>
        <w:t>ü</w:t>
      </w:r>
      <w:r>
        <w:rPr>
          <w:color w:val="222222"/>
        </w:rPr>
        <w:t>ner</w:t>
      </w:r>
      <w:proofErr w:type="spellEnd"/>
      <w:r>
        <w:rPr>
          <w:color w:val="222222"/>
        </w:rPr>
        <w:t xml:space="preserve"> </w:t>
      </w:r>
      <w:proofErr w:type="spellStart"/>
      <w:r>
        <w:rPr>
          <w:color w:val="222222"/>
        </w:rPr>
        <w:t>infarkt</w:t>
      </w:r>
      <w:proofErr w:type="spellEnd"/>
      <w:r>
        <w:rPr>
          <w:color w:val="222222"/>
        </w:rPr>
        <w:t xml:space="preserve"> (LACI) </w:t>
      </w:r>
      <w:proofErr w:type="spellStart"/>
      <w:r>
        <w:rPr>
          <w:color w:val="222222"/>
        </w:rPr>
        <w:t>ve</w:t>
      </w:r>
      <w:proofErr w:type="spellEnd"/>
      <w:r>
        <w:rPr>
          <w:color w:val="222222"/>
        </w:rPr>
        <w:t xml:space="preserve"> </w:t>
      </w:r>
      <w:proofErr w:type="spellStart"/>
      <w:r>
        <w:rPr>
          <w:color w:val="222222"/>
        </w:rPr>
        <w:t>parsiyel</w:t>
      </w:r>
      <w:proofErr w:type="spellEnd"/>
      <w:r>
        <w:rPr>
          <w:color w:val="222222"/>
        </w:rPr>
        <w:t xml:space="preserve"> anterior </w:t>
      </w:r>
      <w:proofErr w:type="spellStart"/>
      <w:r>
        <w:rPr>
          <w:color w:val="222222"/>
        </w:rPr>
        <w:t>sirk</w:t>
      </w:r>
      <w:r>
        <w:rPr>
          <w:rFonts w:hAnsi="Times New Roman"/>
          <w:color w:val="222222"/>
        </w:rPr>
        <w:t>ü</w:t>
      </w:r>
      <w:r>
        <w:rPr>
          <w:color w:val="222222"/>
        </w:rPr>
        <w:t>lasyon</w:t>
      </w:r>
      <w:proofErr w:type="spellEnd"/>
      <w:r>
        <w:rPr>
          <w:color w:val="222222"/>
        </w:rPr>
        <w:t xml:space="preserve"> </w:t>
      </w:r>
      <w:proofErr w:type="spellStart"/>
      <w:r>
        <w:rPr>
          <w:color w:val="222222"/>
        </w:rPr>
        <w:t>infarkt</w:t>
      </w:r>
      <w:r>
        <w:rPr>
          <w:rFonts w:hAnsi="Times New Roman"/>
          <w:color w:val="222222"/>
        </w:rPr>
        <w:t>ı</w:t>
      </w:r>
      <w:proofErr w:type="spellEnd"/>
      <w:r>
        <w:rPr>
          <w:color w:val="222222"/>
        </w:rPr>
        <w:t xml:space="preserve"> (PACI) </w:t>
      </w:r>
      <w:proofErr w:type="spellStart"/>
      <w:r>
        <w:rPr>
          <w:color w:val="222222"/>
        </w:rPr>
        <w:t>ile</w:t>
      </w:r>
      <w:proofErr w:type="spellEnd"/>
      <w:r>
        <w:rPr>
          <w:color w:val="222222"/>
        </w:rPr>
        <w:t xml:space="preserve"> </w:t>
      </w:r>
      <w:proofErr w:type="spellStart"/>
      <w:r>
        <w:rPr>
          <w:color w:val="222222"/>
        </w:rPr>
        <w:t>ili</w:t>
      </w:r>
      <w:r>
        <w:rPr>
          <w:rFonts w:hAnsi="Times New Roman"/>
          <w:color w:val="222222"/>
        </w:rPr>
        <w:t>ş</w:t>
      </w:r>
      <w:r>
        <w:rPr>
          <w:color w:val="222222"/>
        </w:rPr>
        <w:t>kili</w:t>
      </w:r>
      <w:proofErr w:type="spellEnd"/>
      <w:r>
        <w:rPr>
          <w:color w:val="222222"/>
        </w:rPr>
        <w:t xml:space="preserve"> </w:t>
      </w:r>
      <w:proofErr w:type="spellStart"/>
      <w:r>
        <w:rPr>
          <w:color w:val="222222"/>
        </w:rPr>
        <w:t>oldu</w:t>
      </w:r>
      <w:r>
        <w:rPr>
          <w:rFonts w:hAnsi="Times New Roman"/>
          <w:color w:val="222222"/>
        </w:rPr>
        <w:t>ğ</w:t>
      </w:r>
      <w:r>
        <w:rPr>
          <w:color w:val="222222"/>
        </w:rPr>
        <w:t>u</w:t>
      </w:r>
      <w:proofErr w:type="spellEnd"/>
      <w:r>
        <w:rPr>
          <w:color w:val="222222"/>
        </w:rPr>
        <w:t xml:space="preserve"> </w:t>
      </w:r>
      <w:proofErr w:type="spellStart"/>
      <w:r>
        <w:rPr>
          <w:color w:val="222222"/>
        </w:rPr>
        <w:t>bulundu</w:t>
      </w:r>
      <w:proofErr w:type="spellEnd"/>
      <w:r>
        <w:rPr>
          <w:color w:val="222222"/>
        </w:rPr>
        <w:t xml:space="preserve">. </w:t>
      </w:r>
      <w:proofErr w:type="spellStart"/>
      <w:r>
        <w:rPr>
          <w:color w:val="222222"/>
        </w:rPr>
        <w:t>Y</w:t>
      </w:r>
      <w:r>
        <w:rPr>
          <w:rFonts w:hAnsi="Times New Roman"/>
          <w:color w:val="222222"/>
        </w:rPr>
        <w:t>ü</w:t>
      </w:r>
      <w:r>
        <w:rPr>
          <w:color w:val="222222"/>
        </w:rPr>
        <w:t>ksek</w:t>
      </w:r>
      <w:proofErr w:type="spellEnd"/>
      <w:r>
        <w:rPr>
          <w:color w:val="222222"/>
        </w:rPr>
        <w:t xml:space="preserve"> SUA </w:t>
      </w:r>
      <w:proofErr w:type="spellStart"/>
      <w:r>
        <w:rPr>
          <w:color w:val="222222"/>
        </w:rPr>
        <w:t>d</w:t>
      </w:r>
      <w:r>
        <w:rPr>
          <w:rFonts w:hAnsi="Times New Roman"/>
          <w:color w:val="222222"/>
        </w:rPr>
        <w:t>ü</w:t>
      </w:r>
      <w:r>
        <w:rPr>
          <w:color w:val="222222"/>
        </w:rPr>
        <w:t>zeyleri</w:t>
      </w:r>
      <w:proofErr w:type="spellEnd"/>
      <w:r>
        <w:rPr>
          <w:color w:val="222222"/>
        </w:rPr>
        <w:t xml:space="preserve"> anterior </w:t>
      </w:r>
      <w:proofErr w:type="spellStart"/>
      <w:r>
        <w:rPr>
          <w:color w:val="222222"/>
        </w:rPr>
        <w:t>dola</w:t>
      </w:r>
      <w:r>
        <w:rPr>
          <w:rFonts w:hAnsi="Times New Roman"/>
          <w:color w:val="222222"/>
        </w:rPr>
        <w:t>şı</w:t>
      </w:r>
      <w:r>
        <w:rPr>
          <w:color w:val="222222"/>
        </w:rPr>
        <w:t>mda</w:t>
      </w:r>
      <w:proofErr w:type="spellEnd"/>
      <w:r>
        <w:rPr>
          <w:color w:val="222222"/>
        </w:rPr>
        <w:t xml:space="preserve">, </w:t>
      </w:r>
      <w:proofErr w:type="spellStart"/>
      <w:r>
        <w:rPr>
          <w:rFonts w:hAnsi="Times New Roman"/>
          <w:color w:val="222222"/>
        </w:rPr>
        <w:t>ö</w:t>
      </w:r>
      <w:r>
        <w:rPr>
          <w:color w:val="222222"/>
        </w:rPr>
        <w:t>zellikle</w:t>
      </w:r>
      <w:proofErr w:type="spellEnd"/>
      <w:r>
        <w:rPr>
          <w:color w:val="222222"/>
        </w:rPr>
        <w:t xml:space="preserve"> </w:t>
      </w:r>
      <w:proofErr w:type="spellStart"/>
      <w:r>
        <w:rPr>
          <w:color w:val="222222"/>
        </w:rPr>
        <w:t>karotis</w:t>
      </w:r>
      <w:proofErr w:type="spellEnd"/>
      <w:r>
        <w:rPr>
          <w:color w:val="222222"/>
        </w:rPr>
        <w:t xml:space="preserve"> </w:t>
      </w:r>
      <w:proofErr w:type="spellStart"/>
      <w:r>
        <w:rPr>
          <w:color w:val="222222"/>
        </w:rPr>
        <w:t>arterin</w:t>
      </w:r>
      <w:proofErr w:type="spellEnd"/>
      <w:r>
        <w:rPr>
          <w:color w:val="222222"/>
        </w:rPr>
        <w:t xml:space="preserve"> </w:t>
      </w:r>
      <w:proofErr w:type="spellStart"/>
      <w:r>
        <w:rPr>
          <w:color w:val="222222"/>
        </w:rPr>
        <w:t>ekstrakranyal</w:t>
      </w:r>
      <w:proofErr w:type="spellEnd"/>
      <w:r>
        <w:rPr>
          <w:color w:val="222222"/>
        </w:rPr>
        <w:t xml:space="preserve"> </w:t>
      </w:r>
      <w:proofErr w:type="spellStart"/>
      <w:r>
        <w:rPr>
          <w:color w:val="222222"/>
        </w:rPr>
        <w:t>k</w:t>
      </w:r>
      <w:r>
        <w:rPr>
          <w:rFonts w:hAnsi="Times New Roman"/>
          <w:color w:val="222222"/>
        </w:rPr>
        <w:t>ı</w:t>
      </w:r>
      <w:r>
        <w:rPr>
          <w:color w:val="222222"/>
        </w:rPr>
        <w:t>sm</w:t>
      </w:r>
      <w:r>
        <w:rPr>
          <w:rFonts w:hAnsi="Times New Roman"/>
          <w:color w:val="222222"/>
        </w:rPr>
        <w:t>ı</w:t>
      </w:r>
      <w:r>
        <w:rPr>
          <w:color w:val="222222"/>
        </w:rPr>
        <w:t>nda</w:t>
      </w:r>
      <w:proofErr w:type="spellEnd"/>
      <w:r>
        <w:rPr>
          <w:color w:val="222222"/>
        </w:rPr>
        <w:t xml:space="preserve"> </w:t>
      </w:r>
      <w:proofErr w:type="spellStart"/>
      <w:r>
        <w:rPr>
          <w:color w:val="222222"/>
        </w:rPr>
        <w:t>daha</w:t>
      </w:r>
      <w:proofErr w:type="spellEnd"/>
      <w:r>
        <w:rPr>
          <w:color w:val="222222"/>
        </w:rPr>
        <w:t xml:space="preserve"> </w:t>
      </w:r>
      <w:proofErr w:type="spellStart"/>
      <w:r>
        <w:rPr>
          <w:color w:val="222222"/>
        </w:rPr>
        <w:t>s</w:t>
      </w:r>
      <w:r>
        <w:rPr>
          <w:rFonts w:hAnsi="Times New Roman"/>
          <w:color w:val="222222"/>
        </w:rPr>
        <w:t>ı</w:t>
      </w:r>
      <w:r>
        <w:rPr>
          <w:color w:val="222222"/>
        </w:rPr>
        <w:t>k</w:t>
      </w:r>
      <w:proofErr w:type="spellEnd"/>
      <w:r>
        <w:rPr>
          <w:color w:val="222222"/>
        </w:rPr>
        <w:t xml:space="preserve"> </w:t>
      </w:r>
      <w:proofErr w:type="spellStart"/>
      <w:r>
        <w:rPr>
          <w:color w:val="222222"/>
        </w:rPr>
        <w:t>g</w:t>
      </w:r>
      <w:r>
        <w:rPr>
          <w:rFonts w:hAnsi="Times New Roman"/>
          <w:color w:val="222222"/>
        </w:rPr>
        <w:t>ö</w:t>
      </w:r>
      <w:r>
        <w:rPr>
          <w:color w:val="222222"/>
        </w:rPr>
        <w:t>r</w:t>
      </w:r>
      <w:r>
        <w:rPr>
          <w:rFonts w:hAnsi="Times New Roman"/>
          <w:color w:val="222222"/>
        </w:rPr>
        <w:t>ü</w:t>
      </w:r>
      <w:r>
        <w:rPr>
          <w:color w:val="222222"/>
        </w:rPr>
        <w:t>ld</w:t>
      </w:r>
      <w:r>
        <w:rPr>
          <w:rFonts w:hAnsi="Times New Roman"/>
          <w:color w:val="222222"/>
        </w:rPr>
        <w:t>ü</w:t>
      </w:r>
      <w:proofErr w:type="spellEnd"/>
      <w:r>
        <w:rPr>
          <w:color w:val="222222"/>
        </w:rPr>
        <w:t xml:space="preserve">, </w:t>
      </w:r>
      <w:proofErr w:type="spellStart"/>
      <w:r>
        <w:rPr>
          <w:color w:val="222222"/>
        </w:rPr>
        <w:t>ancak</w:t>
      </w:r>
      <w:proofErr w:type="spellEnd"/>
      <w:r>
        <w:rPr>
          <w:color w:val="222222"/>
        </w:rPr>
        <w:t xml:space="preserve"> </w:t>
      </w:r>
      <w:proofErr w:type="spellStart"/>
      <w:r>
        <w:rPr>
          <w:color w:val="222222"/>
        </w:rPr>
        <w:t>bu</w:t>
      </w:r>
      <w:proofErr w:type="spellEnd"/>
      <w:r>
        <w:rPr>
          <w:color w:val="222222"/>
        </w:rPr>
        <w:t xml:space="preserve"> </w:t>
      </w:r>
      <w:proofErr w:type="spellStart"/>
      <w:r>
        <w:rPr>
          <w:color w:val="222222"/>
        </w:rPr>
        <w:t>istatistiksel</w:t>
      </w:r>
      <w:proofErr w:type="spellEnd"/>
      <w:r>
        <w:rPr>
          <w:color w:val="222222"/>
        </w:rPr>
        <w:t xml:space="preserve"> </w:t>
      </w:r>
      <w:proofErr w:type="spellStart"/>
      <w:r>
        <w:rPr>
          <w:color w:val="222222"/>
        </w:rPr>
        <w:t>olarak</w:t>
      </w:r>
      <w:proofErr w:type="spellEnd"/>
      <w:r>
        <w:rPr>
          <w:color w:val="222222"/>
        </w:rPr>
        <w:t xml:space="preserve"> </w:t>
      </w:r>
      <w:proofErr w:type="spellStart"/>
      <w:r>
        <w:rPr>
          <w:color w:val="222222"/>
        </w:rPr>
        <w:t>anlaml</w:t>
      </w:r>
      <w:r>
        <w:rPr>
          <w:rFonts w:hAnsi="Times New Roman"/>
          <w:color w:val="222222"/>
        </w:rPr>
        <w:t>ı</w:t>
      </w:r>
      <w:proofErr w:type="spellEnd"/>
      <w:r>
        <w:rPr>
          <w:color w:val="222222"/>
        </w:rPr>
        <w:t xml:space="preserve"> </w:t>
      </w:r>
      <w:proofErr w:type="spellStart"/>
      <w:r>
        <w:rPr>
          <w:color w:val="222222"/>
        </w:rPr>
        <w:t>de</w:t>
      </w:r>
      <w:r>
        <w:rPr>
          <w:rFonts w:hAnsi="Times New Roman"/>
          <w:color w:val="222222"/>
        </w:rPr>
        <w:t>ğ</w:t>
      </w:r>
      <w:r>
        <w:rPr>
          <w:color w:val="222222"/>
        </w:rPr>
        <w:t>ildi</w:t>
      </w:r>
      <w:proofErr w:type="spellEnd"/>
      <w:r>
        <w:rPr>
          <w:color w:val="222222"/>
        </w:rPr>
        <w:t xml:space="preserve"> (</w:t>
      </w:r>
      <w:r>
        <w:rPr>
          <w:i/>
          <w:iCs/>
          <w:color w:val="222222"/>
        </w:rPr>
        <w:t>p</w:t>
      </w:r>
      <w:r>
        <w:rPr>
          <w:color w:val="222222"/>
        </w:rPr>
        <w:t xml:space="preserve">&gt; 0.05). </w:t>
      </w:r>
      <w:proofErr w:type="spellStart"/>
      <w:r>
        <w:rPr>
          <w:color w:val="222222"/>
        </w:rPr>
        <w:t>Kad</w:t>
      </w:r>
      <w:r>
        <w:rPr>
          <w:rFonts w:hAnsi="Times New Roman"/>
          <w:color w:val="222222"/>
        </w:rPr>
        <w:t>ı</w:t>
      </w:r>
      <w:r>
        <w:rPr>
          <w:color w:val="222222"/>
        </w:rPr>
        <w:t>nlarda</w:t>
      </w:r>
      <w:proofErr w:type="spellEnd"/>
      <w:r>
        <w:rPr>
          <w:color w:val="222222"/>
        </w:rPr>
        <w:t xml:space="preserve"> posterior </w:t>
      </w:r>
      <w:proofErr w:type="spellStart"/>
      <w:r>
        <w:rPr>
          <w:color w:val="222222"/>
        </w:rPr>
        <w:t>dola</w:t>
      </w:r>
      <w:r>
        <w:rPr>
          <w:rFonts w:hAnsi="Times New Roman"/>
          <w:color w:val="222222"/>
        </w:rPr>
        <w:t>şı</w:t>
      </w:r>
      <w:r>
        <w:rPr>
          <w:color w:val="222222"/>
        </w:rPr>
        <w:t>m</w:t>
      </w:r>
      <w:r>
        <w:rPr>
          <w:rFonts w:hAnsi="Times New Roman"/>
          <w:color w:val="222222"/>
        </w:rPr>
        <w:t>ı</w:t>
      </w:r>
      <w:r>
        <w:rPr>
          <w:color w:val="222222"/>
        </w:rPr>
        <w:t>n</w:t>
      </w:r>
      <w:proofErr w:type="spellEnd"/>
      <w:r>
        <w:rPr>
          <w:color w:val="222222"/>
        </w:rPr>
        <w:t xml:space="preserve"> </w:t>
      </w:r>
      <w:proofErr w:type="spellStart"/>
      <w:r>
        <w:rPr>
          <w:color w:val="222222"/>
        </w:rPr>
        <w:t>ekstrakraniyal</w:t>
      </w:r>
      <w:proofErr w:type="spellEnd"/>
      <w:r>
        <w:rPr>
          <w:color w:val="222222"/>
        </w:rPr>
        <w:t xml:space="preserve"> </w:t>
      </w:r>
      <w:proofErr w:type="spellStart"/>
      <w:r>
        <w:rPr>
          <w:color w:val="222222"/>
        </w:rPr>
        <w:t>k</w:t>
      </w:r>
      <w:r>
        <w:rPr>
          <w:rFonts w:hAnsi="Times New Roman"/>
          <w:color w:val="222222"/>
        </w:rPr>
        <w:t>ı</w:t>
      </w:r>
      <w:r>
        <w:rPr>
          <w:color w:val="222222"/>
        </w:rPr>
        <w:t>sm</w:t>
      </w:r>
      <w:r>
        <w:rPr>
          <w:rFonts w:hAnsi="Times New Roman"/>
          <w:color w:val="222222"/>
        </w:rPr>
        <w:t>ı</w:t>
      </w:r>
      <w:r>
        <w:rPr>
          <w:color w:val="222222"/>
        </w:rPr>
        <w:t>nda</w:t>
      </w:r>
      <w:proofErr w:type="spellEnd"/>
      <w:r>
        <w:rPr>
          <w:color w:val="222222"/>
        </w:rPr>
        <w:t xml:space="preserve"> </w:t>
      </w:r>
      <w:proofErr w:type="spellStart"/>
      <w:r>
        <w:rPr>
          <w:color w:val="222222"/>
        </w:rPr>
        <w:t>orta</w:t>
      </w:r>
      <w:proofErr w:type="spellEnd"/>
      <w:r>
        <w:rPr>
          <w:color w:val="222222"/>
        </w:rPr>
        <w:t xml:space="preserve"> </w:t>
      </w:r>
      <w:proofErr w:type="spellStart"/>
      <w:r>
        <w:rPr>
          <w:color w:val="222222"/>
        </w:rPr>
        <w:t>ve</w:t>
      </w:r>
      <w:proofErr w:type="spellEnd"/>
      <w:r>
        <w:rPr>
          <w:color w:val="222222"/>
        </w:rPr>
        <w:t xml:space="preserve"> </w:t>
      </w:r>
      <w:proofErr w:type="spellStart"/>
      <w:r>
        <w:rPr>
          <w:color w:val="222222"/>
        </w:rPr>
        <w:t>ciddi</w:t>
      </w:r>
      <w:proofErr w:type="spellEnd"/>
      <w:r>
        <w:rPr>
          <w:color w:val="222222"/>
        </w:rPr>
        <w:t xml:space="preserve"> </w:t>
      </w:r>
      <w:proofErr w:type="spellStart"/>
      <w:r>
        <w:rPr>
          <w:color w:val="222222"/>
        </w:rPr>
        <w:t>derecede</w:t>
      </w:r>
      <w:proofErr w:type="spellEnd"/>
      <w:r>
        <w:rPr>
          <w:color w:val="222222"/>
        </w:rPr>
        <w:t xml:space="preserve"> </w:t>
      </w:r>
      <w:proofErr w:type="spellStart"/>
      <w:r>
        <w:rPr>
          <w:color w:val="222222"/>
        </w:rPr>
        <w:t>darl</w:t>
      </w:r>
      <w:r>
        <w:rPr>
          <w:rFonts w:hAnsi="Times New Roman"/>
          <w:color w:val="222222"/>
        </w:rPr>
        <w:t>ı</w:t>
      </w:r>
      <w:r>
        <w:rPr>
          <w:color w:val="222222"/>
        </w:rPr>
        <w:t>k</w:t>
      </w:r>
      <w:proofErr w:type="spellEnd"/>
      <w:r>
        <w:rPr>
          <w:color w:val="222222"/>
        </w:rPr>
        <w:t xml:space="preserve"> </w:t>
      </w:r>
      <w:proofErr w:type="spellStart"/>
      <w:r>
        <w:rPr>
          <w:color w:val="222222"/>
        </w:rPr>
        <w:t>ile</w:t>
      </w:r>
      <w:proofErr w:type="spellEnd"/>
      <w:r>
        <w:rPr>
          <w:color w:val="222222"/>
        </w:rPr>
        <w:t xml:space="preserve"> </w:t>
      </w:r>
      <w:proofErr w:type="spellStart"/>
      <w:r>
        <w:rPr>
          <w:color w:val="222222"/>
        </w:rPr>
        <w:t>y</w:t>
      </w:r>
      <w:r>
        <w:rPr>
          <w:rFonts w:hAnsi="Times New Roman"/>
          <w:color w:val="222222"/>
        </w:rPr>
        <w:t>ü</w:t>
      </w:r>
      <w:r>
        <w:rPr>
          <w:color w:val="222222"/>
        </w:rPr>
        <w:t>ksek</w:t>
      </w:r>
      <w:proofErr w:type="spellEnd"/>
      <w:r>
        <w:rPr>
          <w:color w:val="222222"/>
        </w:rPr>
        <w:t xml:space="preserve"> SUA </w:t>
      </w:r>
      <w:proofErr w:type="spellStart"/>
      <w:r>
        <w:rPr>
          <w:color w:val="222222"/>
        </w:rPr>
        <w:t>d</w:t>
      </w:r>
      <w:r>
        <w:rPr>
          <w:rFonts w:hAnsi="Times New Roman"/>
          <w:color w:val="222222"/>
        </w:rPr>
        <w:t>ü</w:t>
      </w:r>
      <w:r>
        <w:rPr>
          <w:color w:val="222222"/>
        </w:rPr>
        <w:t>zeyleri</w:t>
      </w:r>
      <w:proofErr w:type="spellEnd"/>
      <w:r>
        <w:rPr>
          <w:color w:val="222222"/>
        </w:rPr>
        <w:t xml:space="preserve"> </w:t>
      </w:r>
      <w:proofErr w:type="spellStart"/>
      <w:r>
        <w:rPr>
          <w:color w:val="222222"/>
        </w:rPr>
        <w:t>aras</w:t>
      </w:r>
      <w:r>
        <w:rPr>
          <w:rFonts w:hAnsi="Times New Roman"/>
          <w:color w:val="222222"/>
        </w:rPr>
        <w:t>ı</w:t>
      </w:r>
      <w:r>
        <w:rPr>
          <w:color w:val="222222"/>
        </w:rPr>
        <w:t>nda</w:t>
      </w:r>
      <w:proofErr w:type="spellEnd"/>
      <w:r>
        <w:rPr>
          <w:color w:val="222222"/>
        </w:rPr>
        <w:t xml:space="preserve"> </w:t>
      </w:r>
      <w:proofErr w:type="spellStart"/>
      <w:r>
        <w:rPr>
          <w:color w:val="222222"/>
        </w:rPr>
        <w:t>istatistiksel</w:t>
      </w:r>
      <w:proofErr w:type="spellEnd"/>
      <w:r>
        <w:rPr>
          <w:color w:val="222222"/>
        </w:rPr>
        <w:t xml:space="preserve"> </w:t>
      </w:r>
      <w:proofErr w:type="spellStart"/>
      <w:r>
        <w:rPr>
          <w:color w:val="222222"/>
        </w:rPr>
        <w:t>olarak</w:t>
      </w:r>
      <w:proofErr w:type="spellEnd"/>
      <w:r>
        <w:rPr>
          <w:color w:val="222222"/>
        </w:rPr>
        <w:t xml:space="preserve"> </w:t>
      </w:r>
      <w:proofErr w:type="spellStart"/>
      <w:r>
        <w:rPr>
          <w:color w:val="222222"/>
        </w:rPr>
        <w:t>anlaml</w:t>
      </w:r>
      <w:r>
        <w:rPr>
          <w:rFonts w:hAnsi="Times New Roman"/>
          <w:color w:val="222222"/>
        </w:rPr>
        <w:t>ı</w:t>
      </w:r>
      <w:proofErr w:type="spellEnd"/>
      <w:r>
        <w:rPr>
          <w:color w:val="222222"/>
        </w:rPr>
        <w:t xml:space="preserve"> </w:t>
      </w:r>
      <w:proofErr w:type="spellStart"/>
      <w:r>
        <w:rPr>
          <w:color w:val="222222"/>
        </w:rPr>
        <w:t>bir</w:t>
      </w:r>
      <w:proofErr w:type="spellEnd"/>
      <w:r>
        <w:rPr>
          <w:color w:val="222222"/>
        </w:rPr>
        <w:t xml:space="preserve"> </w:t>
      </w:r>
      <w:proofErr w:type="spellStart"/>
      <w:r>
        <w:rPr>
          <w:color w:val="222222"/>
        </w:rPr>
        <w:t>ili</w:t>
      </w:r>
      <w:r>
        <w:rPr>
          <w:rFonts w:hAnsi="Times New Roman"/>
          <w:color w:val="222222"/>
        </w:rPr>
        <w:t>ş</w:t>
      </w:r>
      <w:r>
        <w:rPr>
          <w:color w:val="222222"/>
        </w:rPr>
        <w:t>ki</w:t>
      </w:r>
      <w:proofErr w:type="spellEnd"/>
      <w:r>
        <w:rPr>
          <w:color w:val="222222"/>
        </w:rPr>
        <w:t xml:space="preserve"> </w:t>
      </w:r>
      <w:proofErr w:type="spellStart"/>
      <w:r>
        <w:rPr>
          <w:color w:val="222222"/>
        </w:rPr>
        <w:t>bulundu</w:t>
      </w:r>
      <w:proofErr w:type="spellEnd"/>
      <w:r>
        <w:rPr>
          <w:color w:val="222222"/>
        </w:rPr>
        <w:t xml:space="preserve"> (</w:t>
      </w:r>
      <w:r>
        <w:rPr>
          <w:i/>
          <w:iCs/>
          <w:color w:val="222222"/>
        </w:rPr>
        <w:t>p</w:t>
      </w:r>
      <w:r>
        <w:rPr>
          <w:color w:val="222222"/>
        </w:rPr>
        <w:t xml:space="preserve"> = 0.01). Anterior </w:t>
      </w:r>
      <w:proofErr w:type="spellStart"/>
      <w:r>
        <w:rPr>
          <w:color w:val="222222"/>
        </w:rPr>
        <w:t>dola</w:t>
      </w:r>
      <w:r>
        <w:rPr>
          <w:rFonts w:hAnsi="Times New Roman"/>
          <w:color w:val="222222"/>
        </w:rPr>
        <w:t>şı</w:t>
      </w:r>
      <w:r>
        <w:rPr>
          <w:color w:val="222222"/>
        </w:rPr>
        <w:t>m</w:t>
      </w:r>
      <w:r>
        <w:rPr>
          <w:rFonts w:hAnsi="Times New Roman"/>
          <w:color w:val="222222"/>
        </w:rPr>
        <w:t>ı</w:t>
      </w:r>
      <w:r>
        <w:rPr>
          <w:color w:val="222222"/>
        </w:rPr>
        <w:t>n</w:t>
      </w:r>
      <w:proofErr w:type="spellEnd"/>
      <w:r>
        <w:rPr>
          <w:color w:val="222222"/>
        </w:rPr>
        <w:t xml:space="preserve"> </w:t>
      </w:r>
      <w:proofErr w:type="spellStart"/>
      <w:r>
        <w:rPr>
          <w:color w:val="222222"/>
        </w:rPr>
        <w:t>ekstrakranial</w:t>
      </w:r>
      <w:proofErr w:type="spellEnd"/>
      <w:r>
        <w:rPr>
          <w:color w:val="222222"/>
        </w:rPr>
        <w:t xml:space="preserve"> </w:t>
      </w:r>
      <w:proofErr w:type="spellStart"/>
      <w:r>
        <w:rPr>
          <w:color w:val="222222"/>
        </w:rPr>
        <w:t>k</w:t>
      </w:r>
      <w:r>
        <w:rPr>
          <w:rFonts w:hAnsi="Times New Roman"/>
          <w:color w:val="222222"/>
        </w:rPr>
        <w:t>ı</w:t>
      </w:r>
      <w:r>
        <w:rPr>
          <w:color w:val="222222"/>
        </w:rPr>
        <w:t>sm</w:t>
      </w:r>
      <w:r>
        <w:rPr>
          <w:rFonts w:hAnsi="Times New Roman"/>
          <w:color w:val="222222"/>
        </w:rPr>
        <w:t>ı</w:t>
      </w:r>
      <w:r>
        <w:rPr>
          <w:color w:val="222222"/>
        </w:rPr>
        <w:t>nda</w:t>
      </w:r>
      <w:proofErr w:type="spellEnd"/>
      <w:r>
        <w:rPr>
          <w:color w:val="222222"/>
        </w:rPr>
        <w:t xml:space="preserve"> </w:t>
      </w:r>
      <w:proofErr w:type="spellStart"/>
      <w:r>
        <w:rPr>
          <w:color w:val="222222"/>
        </w:rPr>
        <w:t>kontur</w:t>
      </w:r>
      <w:proofErr w:type="spellEnd"/>
      <w:r>
        <w:rPr>
          <w:color w:val="222222"/>
        </w:rPr>
        <w:t xml:space="preserve"> </w:t>
      </w:r>
      <w:proofErr w:type="spellStart"/>
      <w:r>
        <w:rPr>
          <w:color w:val="222222"/>
        </w:rPr>
        <w:t>d</w:t>
      </w:r>
      <w:r>
        <w:rPr>
          <w:rFonts w:hAnsi="Times New Roman"/>
          <w:color w:val="222222"/>
        </w:rPr>
        <w:t>ü</w:t>
      </w:r>
      <w:r>
        <w:rPr>
          <w:color w:val="222222"/>
        </w:rPr>
        <w:t>zensizli</w:t>
      </w:r>
      <w:r>
        <w:rPr>
          <w:rFonts w:hAnsi="Times New Roman"/>
          <w:color w:val="222222"/>
        </w:rPr>
        <w:t>ğ</w:t>
      </w:r>
      <w:r>
        <w:rPr>
          <w:color w:val="222222"/>
        </w:rPr>
        <w:t>i</w:t>
      </w:r>
      <w:proofErr w:type="spellEnd"/>
      <w:r>
        <w:rPr>
          <w:color w:val="222222"/>
        </w:rPr>
        <w:t xml:space="preserve"> </w:t>
      </w:r>
      <w:proofErr w:type="spellStart"/>
      <w:r>
        <w:rPr>
          <w:color w:val="222222"/>
        </w:rPr>
        <w:t>ve</w:t>
      </w:r>
      <w:proofErr w:type="spellEnd"/>
      <w:r>
        <w:rPr>
          <w:color w:val="222222"/>
        </w:rPr>
        <w:t xml:space="preserve"> </w:t>
      </w:r>
      <w:proofErr w:type="spellStart"/>
      <w:r>
        <w:rPr>
          <w:color w:val="222222"/>
        </w:rPr>
        <w:t>orta</w:t>
      </w:r>
      <w:proofErr w:type="spellEnd"/>
      <w:r>
        <w:rPr>
          <w:color w:val="222222"/>
        </w:rPr>
        <w:t xml:space="preserve"> </w:t>
      </w:r>
      <w:proofErr w:type="spellStart"/>
      <w:r>
        <w:rPr>
          <w:color w:val="222222"/>
        </w:rPr>
        <w:t>derecede</w:t>
      </w:r>
      <w:proofErr w:type="spellEnd"/>
      <w:r>
        <w:rPr>
          <w:color w:val="222222"/>
        </w:rPr>
        <w:t xml:space="preserve"> </w:t>
      </w:r>
      <w:proofErr w:type="spellStart"/>
      <w:r>
        <w:rPr>
          <w:color w:val="222222"/>
        </w:rPr>
        <w:t>darl</w:t>
      </w:r>
      <w:r>
        <w:rPr>
          <w:rFonts w:hAnsi="Times New Roman"/>
          <w:color w:val="222222"/>
        </w:rPr>
        <w:t>ı</w:t>
      </w:r>
      <w:r>
        <w:rPr>
          <w:color w:val="222222"/>
        </w:rPr>
        <w:t>k</w:t>
      </w:r>
      <w:proofErr w:type="spellEnd"/>
      <w:r>
        <w:rPr>
          <w:color w:val="222222"/>
        </w:rPr>
        <w:t xml:space="preserve"> </w:t>
      </w:r>
      <w:proofErr w:type="spellStart"/>
      <w:r>
        <w:rPr>
          <w:color w:val="222222"/>
        </w:rPr>
        <w:t>ile</w:t>
      </w:r>
      <w:proofErr w:type="spellEnd"/>
      <w:r>
        <w:rPr>
          <w:color w:val="222222"/>
        </w:rPr>
        <w:t xml:space="preserve"> atrial </w:t>
      </w:r>
      <w:proofErr w:type="spellStart"/>
      <w:r>
        <w:rPr>
          <w:color w:val="222222"/>
        </w:rPr>
        <w:t>fibrilasyon</w:t>
      </w:r>
      <w:proofErr w:type="spellEnd"/>
      <w:r>
        <w:rPr>
          <w:color w:val="222222"/>
        </w:rPr>
        <w:t xml:space="preserve"> </w:t>
      </w:r>
      <w:proofErr w:type="spellStart"/>
      <w:proofErr w:type="gramStart"/>
      <w:r>
        <w:rPr>
          <w:color w:val="222222"/>
        </w:rPr>
        <w:t>aras</w:t>
      </w:r>
      <w:r>
        <w:rPr>
          <w:rFonts w:hAnsi="Times New Roman"/>
          <w:color w:val="222222"/>
        </w:rPr>
        <w:t>ı</w:t>
      </w:r>
      <w:r>
        <w:rPr>
          <w:color w:val="222222"/>
        </w:rPr>
        <w:t>nda</w:t>
      </w:r>
      <w:proofErr w:type="spellEnd"/>
      <w:r>
        <w:rPr>
          <w:color w:val="222222"/>
        </w:rPr>
        <w:t xml:space="preserve">  </w:t>
      </w:r>
      <w:proofErr w:type="spellStart"/>
      <w:r>
        <w:rPr>
          <w:color w:val="222222"/>
        </w:rPr>
        <w:t>anlaml</w:t>
      </w:r>
      <w:r>
        <w:rPr>
          <w:rFonts w:hAnsi="Times New Roman"/>
          <w:color w:val="222222"/>
        </w:rPr>
        <w:t>ı</w:t>
      </w:r>
      <w:proofErr w:type="spellEnd"/>
      <w:proofErr w:type="gramEnd"/>
      <w:r>
        <w:rPr>
          <w:color w:val="222222"/>
        </w:rPr>
        <w:t xml:space="preserve"> </w:t>
      </w:r>
      <w:proofErr w:type="spellStart"/>
      <w:r>
        <w:rPr>
          <w:color w:val="222222"/>
        </w:rPr>
        <w:t>bir</w:t>
      </w:r>
      <w:proofErr w:type="spellEnd"/>
      <w:r>
        <w:rPr>
          <w:color w:val="222222"/>
        </w:rPr>
        <w:t xml:space="preserve"> </w:t>
      </w:r>
      <w:proofErr w:type="spellStart"/>
      <w:r>
        <w:rPr>
          <w:color w:val="222222"/>
        </w:rPr>
        <w:t>ili</w:t>
      </w:r>
      <w:r>
        <w:rPr>
          <w:rFonts w:hAnsi="Times New Roman"/>
          <w:color w:val="222222"/>
        </w:rPr>
        <w:t>ş</w:t>
      </w:r>
      <w:r>
        <w:rPr>
          <w:color w:val="222222"/>
        </w:rPr>
        <w:t>ki</w:t>
      </w:r>
      <w:proofErr w:type="spellEnd"/>
      <w:r>
        <w:rPr>
          <w:color w:val="222222"/>
        </w:rPr>
        <w:t xml:space="preserve"> </w:t>
      </w:r>
      <w:proofErr w:type="spellStart"/>
      <w:r>
        <w:rPr>
          <w:color w:val="222222"/>
        </w:rPr>
        <w:t>saptand</w:t>
      </w:r>
      <w:r>
        <w:rPr>
          <w:rFonts w:hAnsi="Times New Roman"/>
          <w:color w:val="222222"/>
        </w:rPr>
        <w:t>ı</w:t>
      </w:r>
      <w:proofErr w:type="spellEnd"/>
      <w:r>
        <w:rPr>
          <w:color w:val="222222"/>
        </w:rPr>
        <w:t xml:space="preserve"> (</w:t>
      </w:r>
      <w:r>
        <w:rPr>
          <w:i/>
          <w:iCs/>
          <w:color w:val="222222"/>
        </w:rPr>
        <w:t xml:space="preserve">p </w:t>
      </w:r>
      <w:r>
        <w:rPr>
          <w:color w:val="222222"/>
        </w:rPr>
        <w:t>= 0.05).</w:t>
      </w:r>
    </w:p>
    <w:p w:rsidR="001C0E6D" w:rsidRDefault="000D5DB9" w:rsidP="001C0E6D">
      <w:pPr>
        <w:pStyle w:val="Gvde"/>
        <w:widowControl w:val="0"/>
        <w:spacing w:after="240"/>
        <w:jc w:val="both"/>
        <w:rPr>
          <w:rFonts w:hAnsi="Times New Roman" w:cs="Times New Roman"/>
          <w:color w:val="222222"/>
        </w:rPr>
      </w:pPr>
      <w:proofErr w:type="spellStart"/>
      <w:r>
        <w:rPr>
          <w:b/>
          <w:bCs/>
          <w:color w:val="222222"/>
          <w:lang w:val="en-US"/>
        </w:rPr>
        <w:t>Sonu</w:t>
      </w:r>
      <w:r>
        <w:rPr>
          <w:rFonts w:hAnsi="Times New Roman"/>
          <w:b/>
          <w:bCs/>
          <w:color w:val="222222"/>
          <w:lang w:val="en-US"/>
        </w:rPr>
        <w:t>ç</w:t>
      </w:r>
      <w:proofErr w:type="spellEnd"/>
      <w:r>
        <w:rPr>
          <w:b/>
          <w:bCs/>
          <w:color w:val="222222"/>
          <w:lang w:val="en-US"/>
        </w:rPr>
        <w:t>:</w:t>
      </w:r>
      <w:r w:rsidRPr="001C0E6D">
        <w:rPr>
          <w:color w:val="auto"/>
          <w:lang w:val="en-US"/>
        </w:rPr>
        <w:t xml:space="preserve"> </w:t>
      </w:r>
      <w:r w:rsidR="001C0E6D" w:rsidRPr="001C0E6D">
        <w:rPr>
          <w:rFonts w:hAnsi="Times New Roman" w:cs="Times New Roman"/>
          <w:color w:val="auto"/>
          <w:highlight w:val="yellow"/>
        </w:rPr>
        <w:t>Çalışmamızda yüksek SUA düzeylerinin sırasıyla LACI ve PACI ile ilişkili olduğu saptanmış olup, daha büyük gruplarla yapılacak ileri çalışmalara ihtiyaç vardır.</w:t>
      </w:r>
      <w:r w:rsidR="001C0E6D" w:rsidRPr="001C0E6D">
        <w:rPr>
          <w:rFonts w:hAnsi="Times New Roman" w:cs="Times New Roman"/>
          <w:color w:val="auto"/>
        </w:rPr>
        <w:t xml:space="preserve"> </w:t>
      </w:r>
    </w:p>
    <w:p w:rsidR="004F69F8" w:rsidRDefault="000D5DB9">
      <w:pPr>
        <w:pStyle w:val="GvdeA"/>
        <w:widowControl w:val="0"/>
        <w:spacing w:after="240"/>
        <w:jc w:val="both"/>
      </w:pPr>
      <w:proofErr w:type="spellStart"/>
      <w:r>
        <w:rPr>
          <w:b/>
          <w:bCs/>
        </w:rPr>
        <w:t>Anahtar</w:t>
      </w:r>
      <w:proofErr w:type="spellEnd"/>
      <w:r>
        <w:rPr>
          <w:b/>
          <w:bCs/>
        </w:rPr>
        <w:t xml:space="preserve"> </w:t>
      </w:r>
      <w:proofErr w:type="spellStart"/>
      <w:r>
        <w:rPr>
          <w:b/>
          <w:bCs/>
        </w:rPr>
        <w:t>kelimeler</w:t>
      </w:r>
      <w:proofErr w:type="spellEnd"/>
      <w:r>
        <w:rPr>
          <w:b/>
          <w:bCs/>
        </w:rPr>
        <w:t>:</w:t>
      </w:r>
      <w:r>
        <w:t xml:space="preserve"> </w:t>
      </w:r>
      <w:proofErr w:type="spellStart"/>
      <w:r>
        <w:rPr>
          <w:rFonts w:hAnsi="Times New Roman"/>
        </w:rPr>
        <w:t>İ</w:t>
      </w:r>
      <w:r>
        <w:t>nme</w:t>
      </w:r>
      <w:proofErr w:type="spellEnd"/>
      <w:r>
        <w:t xml:space="preserve">, </w:t>
      </w:r>
      <w:proofErr w:type="spellStart"/>
      <w:r>
        <w:rPr>
          <w:rFonts w:hAnsi="Times New Roman"/>
        </w:rPr>
        <w:t>Ü</w:t>
      </w:r>
      <w:r>
        <w:t>rik</w:t>
      </w:r>
      <w:proofErr w:type="spellEnd"/>
      <w:r>
        <w:t xml:space="preserve"> </w:t>
      </w:r>
      <w:proofErr w:type="spellStart"/>
      <w:r>
        <w:t>asit</w:t>
      </w:r>
      <w:proofErr w:type="spellEnd"/>
      <w:r>
        <w:t xml:space="preserve">, </w:t>
      </w:r>
      <w:proofErr w:type="spellStart"/>
      <w:r>
        <w:t>Intrakranial</w:t>
      </w:r>
      <w:proofErr w:type="spellEnd"/>
      <w:r>
        <w:t xml:space="preserve">, </w:t>
      </w:r>
      <w:proofErr w:type="spellStart"/>
      <w:r>
        <w:t>Ekstrakranial</w:t>
      </w:r>
      <w:proofErr w:type="spellEnd"/>
      <w:r>
        <w:t xml:space="preserve">, </w:t>
      </w:r>
      <w:proofErr w:type="spellStart"/>
      <w:r>
        <w:t>Ateroskleroz</w:t>
      </w:r>
      <w:proofErr w:type="spellEnd"/>
      <w:r>
        <w:t xml:space="preserve">, Atrial </w:t>
      </w:r>
      <w:proofErr w:type="spellStart"/>
      <w:r>
        <w:t>Fibrilasyon</w:t>
      </w:r>
      <w:proofErr w:type="spellEnd"/>
    </w:p>
    <w:p w:rsidR="004F69F8" w:rsidRDefault="004F69F8">
      <w:pPr>
        <w:pStyle w:val="GvdeA"/>
        <w:widowControl w:val="0"/>
        <w:spacing w:after="240"/>
        <w:jc w:val="both"/>
      </w:pPr>
    </w:p>
    <w:p w:rsidR="004F69F8" w:rsidRDefault="004F69F8">
      <w:pPr>
        <w:pStyle w:val="GvdeA"/>
        <w:widowControl w:val="0"/>
        <w:spacing w:after="240"/>
        <w:jc w:val="both"/>
      </w:pPr>
    </w:p>
    <w:p w:rsidR="004F69F8" w:rsidRDefault="004F69F8">
      <w:pPr>
        <w:pStyle w:val="GvdeA"/>
        <w:widowControl w:val="0"/>
        <w:spacing w:after="240"/>
        <w:jc w:val="both"/>
      </w:pPr>
    </w:p>
    <w:p w:rsidR="004F69F8" w:rsidRDefault="000D5DB9">
      <w:pPr>
        <w:pStyle w:val="GvdeA"/>
        <w:widowControl w:val="0"/>
        <w:spacing w:after="240"/>
        <w:jc w:val="both"/>
        <w:rPr>
          <w:b/>
          <w:bCs/>
        </w:rPr>
      </w:pPr>
      <w:r>
        <w:rPr>
          <w:b/>
          <w:bCs/>
        </w:rPr>
        <w:t>INTRODUCTION</w:t>
      </w:r>
    </w:p>
    <w:p w:rsidR="004F69F8" w:rsidRDefault="000D5DB9">
      <w:pPr>
        <w:pStyle w:val="GvdeA"/>
        <w:widowControl w:val="0"/>
        <w:spacing w:after="240"/>
        <w:ind w:firstLine="720"/>
        <w:jc w:val="both"/>
      </w:pPr>
      <w:r>
        <w:t xml:space="preserve">Stroke is the second most common cause of death globally (1). Stroke has various etiologic factors, and recently uric acid was also listed among these factors (1,2). Uric acid is the final enzyme product of purine metabolism, which appears as a result of nuclear material catabolism. Pathologically high uric acid levels are found to be associated with gout, renal stones, hypertension (HT), visceral obesity, insulin resistance, dyslipidemia, cardiovascular, and cerebrovascular diseases (3-5). Our aim in this study was to investigate whether high uric acid levels were an independent risk factor in atherosclerotic intracranial and </w:t>
      </w:r>
      <w:proofErr w:type="spellStart"/>
      <w:r>
        <w:t>extracranial</w:t>
      </w:r>
      <w:proofErr w:type="spellEnd"/>
      <w:r>
        <w:t xml:space="preserve"> artery stenosis, and to determine if there was any relation with a history of atrial fibrillation (AF).</w:t>
      </w:r>
    </w:p>
    <w:p w:rsidR="004F69F8" w:rsidRDefault="000D5DB9">
      <w:pPr>
        <w:pStyle w:val="GvdeA"/>
        <w:widowControl w:val="0"/>
        <w:spacing w:after="240"/>
        <w:jc w:val="both"/>
        <w:rPr>
          <w:b/>
          <w:bCs/>
        </w:rPr>
      </w:pPr>
      <w:r>
        <w:rPr>
          <w:b/>
          <w:bCs/>
        </w:rPr>
        <w:t>METHODS</w:t>
      </w:r>
    </w:p>
    <w:p w:rsidR="004F69F8" w:rsidRDefault="000D5DB9">
      <w:pPr>
        <w:pStyle w:val="GvdeA"/>
        <w:widowControl w:val="0"/>
        <w:spacing w:after="240"/>
        <w:ind w:firstLine="720"/>
        <w:jc w:val="both"/>
      </w:pPr>
      <w:r>
        <w:t xml:space="preserve">One hundred seventy-four patients who were admitted to Marmara University </w:t>
      </w:r>
      <w:proofErr w:type="spellStart"/>
      <w:r>
        <w:t>Pendik</w:t>
      </w:r>
      <w:proofErr w:type="spellEnd"/>
      <w:r>
        <w:t xml:space="preserve"> Training and Research Hospital within the first 24 hours of acute stroke onset between December 2016 and September 2017 were included in this prospective study. The study was approved by the ethics committee of the coordinating center (No: 83045809/604/02-12333). Blood uric acid levels were measured using standard laboratory techniques. Neuroimaging of each patient was performed using diffusion magnetic resonance imaging (MRI), and cranial and cervical MR angiography (MRA). </w:t>
      </w:r>
    </w:p>
    <w:p w:rsidR="004F69F8" w:rsidRDefault="000D5DB9">
      <w:pPr>
        <w:pStyle w:val="GvdeA"/>
        <w:widowControl w:val="0"/>
        <w:spacing w:after="240"/>
        <w:ind w:firstLine="720"/>
        <w:jc w:val="both"/>
      </w:pPr>
      <w:r>
        <w:t xml:space="preserve">Uric acid levels were considered high if </w:t>
      </w:r>
      <w:r>
        <w:rPr>
          <w:rFonts w:hAnsi="Times New Roman"/>
        </w:rPr>
        <w:t xml:space="preserve">≥ </w:t>
      </w:r>
      <w:r>
        <w:t>6.9 mg/</w:t>
      </w:r>
      <w:proofErr w:type="spellStart"/>
      <w:r>
        <w:t>dL</w:t>
      </w:r>
      <w:proofErr w:type="spellEnd"/>
      <w:r>
        <w:t xml:space="preserve"> in males and </w:t>
      </w:r>
      <w:r>
        <w:rPr>
          <w:rFonts w:hAnsi="Times New Roman"/>
        </w:rPr>
        <w:t>≥</w:t>
      </w:r>
      <w:r>
        <w:t>5.9 mg/</w:t>
      </w:r>
      <w:proofErr w:type="spellStart"/>
      <w:r>
        <w:t>dL</w:t>
      </w:r>
      <w:proofErr w:type="spellEnd"/>
      <w:r>
        <w:t xml:space="preserve"> in females. Patients with bleeding diathesis, gout, polycythemia, chronic renal failure, current uric acid level-lowering drug use, malignancies, and liver disease were excluded from the study. The degree of vascular stenosis was classified as lumen contour irregularity, mild, moderate and severe stenosis using the North American Symptomatic Carotid Endarterectomy Trial (NASCET) criteria. Blood samples of patients were examined in the first 48 hours of acute stroke onset. All analyses of serum were studied in the Central Biochemistry Laboratory of Marmara University </w:t>
      </w:r>
      <w:proofErr w:type="spellStart"/>
      <w:r>
        <w:t>Pendik</w:t>
      </w:r>
      <w:proofErr w:type="spellEnd"/>
      <w:r>
        <w:t xml:space="preserve"> Training and Research Hospital using a Roche Diagnostics </w:t>
      </w:r>
      <w:proofErr w:type="spellStart"/>
      <w:r>
        <w:t>Cobas</w:t>
      </w:r>
      <w:proofErr w:type="spellEnd"/>
      <w:r>
        <w:t xml:space="preserve"> 8000 C 701 series auto-analyzer with spectrophotometry, </w:t>
      </w:r>
      <w:r w:rsidR="001C0E6D">
        <w:t xml:space="preserve">and the serum uric acid levels </w:t>
      </w:r>
      <w:r>
        <w:t>are presented as mg/</w:t>
      </w:r>
      <w:proofErr w:type="spellStart"/>
      <w:r>
        <w:t>dL</w:t>
      </w:r>
      <w:proofErr w:type="spellEnd"/>
      <w:r>
        <w:t>.</w:t>
      </w:r>
    </w:p>
    <w:p w:rsidR="004F69F8" w:rsidRDefault="000D5DB9">
      <w:pPr>
        <w:pStyle w:val="GvdeA"/>
        <w:widowControl w:val="0"/>
        <w:spacing w:after="240"/>
        <w:ind w:firstLine="720"/>
        <w:jc w:val="both"/>
      </w:pPr>
      <w:r>
        <w:t xml:space="preserve"> </w:t>
      </w:r>
    </w:p>
    <w:p w:rsidR="004F69F8" w:rsidRDefault="000D5DB9">
      <w:pPr>
        <w:pStyle w:val="GvdeA"/>
        <w:widowControl w:val="0"/>
        <w:spacing w:after="240"/>
        <w:jc w:val="both"/>
        <w:rPr>
          <w:i/>
          <w:iCs/>
        </w:rPr>
      </w:pPr>
      <w:r>
        <w:rPr>
          <w:i/>
          <w:iCs/>
        </w:rPr>
        <w:t>Statistical analysis</w:t>
      </w:r>
    </w:p>
    <w:p w:rsidR="004F69F8" w:rsidRDefault="000D5DB9">
      <w:pPr>
        <w:pStyle w:val="GvdeA"/>
        <w:widowControl w:val="0"/>
        <w:spacing w:after="240"/>
        <w:ind w:firstLine="720"/>
        <w:jc w:val="both"/>
      </w:pPr>
      <w:r>
        <w:t>Statistical tests were performed by using the IBM SPSS Statistics Version 17 software. Statistical comparisons between the groups were performed using descriptive methods, the Chi-square test, and T-test. Pearson</w:t>
      </w:r>
      <w:r>
        <w:rPr>
          <w:rFonts w:hAnsi="Times New Roman"/>
          <w:lang w:val="fr-FR"/>
        </w:rPr>
        <w:t>’</w:t>
      </w:r>
      <w:r>
        <w:t xml:space="preserve">s correlation coefficient was used to measure the degree of linear relationship between quantitative variables. The statistical significance level was accepted as </w:t>
      </w:r>
      <w:r>
        <w:rPr>
          <w:i/>
          <w:iCs/>
        </w:rPr>
        <w:t>p</w:t>
      </w:r>
      <w:r>
        <w:t xml:space="preserve">&lt;0.05. </w:t>
      </w:r>
    </w:p>
    <w:p w:rsidR="004F69F8" w:rsidRDefault="000D5DB9">
      <w:pPr>
        <w:pStyle w:val="GvdeA"/>
        <w:widowControl w:val="0"/>
        <w:spacing w:after="240"/>
        <w:jc w:val="both"/>
        <w:rPr>
          <w:b/>
          <w:bCs/>
        </w:rPr>
      </w:pPr>
      <w:r>
        <w:rPr>
          <w:b/>
          <w:bCs/>
        </w:rPr>
        <w:t>RESULTS</w:t>
      </w:r>
    </w:p>
    <w:p w:rsidR="004F69F8" w:rsidRDefault="000D5DB9">
      <w:pPr>
        <w:pStyle w:val="GvdeA"/>
        <w:widowControl w:val="0"/>
        <w:spacing w:after="240"/>
        <w:ind w:firstLine="720"/>
        <w:jc w:val="both"/>
      </w:pPr>
      <w:r>
        <w:t xml:space="preserve">This study was performed in Marmara University </w:t>
      </w:r>
      <w:proofErr w:type="spellStart"/>
      <w:r>
        <w:t>Pendik</w:t>
      </w:r>
      <w:proofErr w:type="spellEnd"/>
      <w:r>
        <w:t xml:space="preserve"> Training and Research Hospital. A number of total 315 patients were included. One-hundred forty one patients were excluded from the study because they did not meet the criteria.  The mean age of 174 patients was 69 </w:t>
      </w:r>
      <w:r>
        <w:rPr>
          <w:rFonts w:hAnsi="Times New Roman"/>
        </w:rPr>
        <w:t xml:space="preserve">± </w:t>
      </w:r>
      <w:r>
        <w:t xml:space="preserve">12.7 (minimum-maximum: 33-94). </w:t>
      </w:r>
      <w:r>
        <w:rPr>
          <w:color w:val="222222"/>
        </w:rPr>
        <w:t xml:space="preserve">Seventy (40%) of the patients were female and 104 (60%) were male. </w:t>
      </w:r>
      <w:r>
        <w:t>Sixty-six (38%) patients have elevated serum uric acid levels. The mean SUA level of these patients was 7.33</w:t>
      </w:r>
      <w:r>
        <w:rPr>
          <w:rFonts w:hAnsi="Times New Roman"/>
        </w:rPr>
        <w:t>±</w:t>
      </w:r>
      <w:r>
        <w:t>1.02 mg/</w:t>
      </w:r>
      <w:proofErr w:type="spellStart"/>
      <w:r>
        <w:t>dL</w:t>
      </w:r>
      <w:proofErr w:type="spellEnd"/>
      <w:r>
        <w:t xml:space="preserve">. Thirty-six patients have AF and 14 of these patients (39 %) had high SUA levels. </w:t>
      </w:r>
    </w:p>
    <w:p w:rsidR="004F69F8" w:rsidRDefault="000D5DB9">
      <w:pPr>
        <w:pStyle w:val="GvdeA"/>
        <w:widowControl w:val="0"/>
        <w:spacing w:after="240"/>
        <w:ind w:firstLine="720"/>
        <w:jc w:val="both"/>
      </w:pPr>
      <w:r>
        <w:t>An evaluation of co-morbid disease among the patients revealed that 71.8% of the patients had hypertension (HT), 37.9% had diabetes mellitus (DM), 64.4% of had hyperlipidemia, 20.6% had AF, and 20.11% had coronary artery disease (CAD). No significant relationship was found between serum uric acid levels and stroke risk factors (</w:t>
      </w:r>
      <w:r>
        <w:rPr>
          <w:i/>
          <w:iCs/>
        </w:rPr>
        <w:t>p</w:t>
      </w:r>
      <w:r>
        <w:t>&gt;0.05).</w:t>
      </w:r>
    </w:p>
    <w:p w:rsidR="004F69F8" w:rsidRDefault="000D5DB9">
      <w:pPr>
        <w:pStyle w:val="GvdeA"/>
        <w:widowControl w:val="0"/>
        <w:spacing w:after="240"/>
        <w:ind w:firstLine="720"/>
        <w:jc w:val="both"/>
      </w:pPr>
      <w:r>
        <w:t>Anterior/posterior system circulation and intracranial-</w:t>
      </w:r>
      <w:proofErr w:type="spellStart"/>
      <w:r>
        <w:t>extracranial</w:t>
      </w:r>
      <w:proofErr w:type="spellEnd"/>
      <w:r>
        <w:t xml:space="preserve"> atherosclerosis in patients with high uric acid levels were demonstrated in Table 1. Elevated SUA levels were mostly related with lacunar infarct (LACI) and partial anterior circulation infarct (PACI), respectively (Table 2). High SUA levels were seen more commonly in the anterior circulation, especially in the </w:t>
      </w:r>
      <w:proofErr w:type="spellStart"/>
      <w:r>
        <w:t>extracranial</w:t>
      </w:r>
      <w:proofErr w:type="spellEnd"/>
      <w:r>
        <w:t xml:space="preserve"> part of the carotid artery, but this was not statistically significant (</w:t>
      </w:r>
      <w:r>
        <w:rPr>
          <w:i/>
          <w:iCs/>
        </w:rPr>
        <w:t>p</w:t>
      </w:r>
      <w:r>
        <w:t xml:space="preserve">&gt;0.05) (Table 3).  We found a statistically significant relation between high SUA levels in moderate and severe stenosis of the </w:t>
      </w:r>
      <w:proofErr w:type="spellStart"/>
      <w:r>
        <w:t>extracranial</w:t>
      </w:r>
      <w:proofErr w:type="spellEnd"/>
      <w:r>
        <w:t xml:space="preserve"> portion of the posterior circulation in women (</w:t>
      </w:r>
      <w:r>
        <w:rPr>
          <w:i/>
          <w:iCs/>
        </w:rPr>
        <w:t>p</w:t>
      </w:r>
      <w:r>
        <w:t xml:space="preserve">=0.01) (Table 4). There was a relationship between atrial fibrillation and </w:t>
      </w:r>
      <w:proofErr w:type="spellStart"/>
      <w:r>
        <w:t>extracranial</w:t>
      </w:r>
      <w:proofErr w:type="spellEnd"/>
      <w:r>
        <w:t xml:space="preserve"> atherosclerosis of the anterior circulation as contour irregularity and moderate stenosis (</w:t>
      </w:r>
      <w:r>
        <w:rPr>
          <w:i/>
          <w:iCs/>
        </w:rPr>
        <w:t>p</w:t>
      </w:r>
      <w:r>
        <w:t>=0.05) (Table 5). No significant relationship between serum uric acid level and AF was found (Table 6).</w:t>
      </w:r>
    </w:p>
    <w:p w:rsidR="004F69F8" w:rsidRDefault="004F69F8">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pPr>
    </w:p>
    <w:p w:rsidR="001C0E6D" w:rsidRDefault="001C0E6D">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pPr>
    </w:p>
    <w:p w:rsidR="001C0E6D" w:rsidRDefault="001C0E6D">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pPr>
    </w:p>
    <w:p w:rsidR="001C0E6D" w:rsidRDefault="001C0E6D">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pPr>
    </w:p>
    <w:p w:rsidR="001C0E6D" w:rsidRDefault="001C0E6D">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pPr>
    </w:p>
    <w:p w:rsidR="001C0E6D" w:rsidRDefault="001C0E6D">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pPr>
    </w:p>
    <w:p w:rsidR="001C0E6D" w:rsidRDefault="001C0E6D">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pPr>
    </w:p>
    <w:p w:rsidR="004F69F8" w:rsidRDefault="000D5DB9">
      <w:pPr>
        <w:pStyle w:val="Gvde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b/>
          <w:bCs/>
        </w:rPr>
      </w:pPr>
      <w:r>
        <w:rPr>
          <w:b/>
          <w:bCs/>
        </w:rPr>
        <w:t xml:space="preserve">Table 1: </w:t>
      </w:r>
      <w:r>
        <w:t xml:space="preserve">The numeric demonstration of anterior/ posterior system circulation and intracranial- </w:t>
      </w:r>
      <w:proofErr w:type="spellStart"/>
      <w:r>
        <w:t>extracranial</w:t>
      </w:r>
      <w:proofErr w:type="spellEnd"/>
      <w:r>
        <w:t xml:space="preserve"> atherosclerosis in patients with elevated serum uric acid levels</w:t>
      </w:r>
      <w:r>
        <w:rPr>
          <w:b/>
          <w:bCs/>
        </w:rPr>
        <w:t xml:space="preserve"> </w:t>
      </w:r>
    </w:p>
    <w:tbl>
      <w:tblPr>
        <w:tblStyle w:val="TableNormal1"/>
        <w:tblW w:w="928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97"/>
        <w:gridCol w:w="1293"/>
        <w:gridCol w:w="1247"/>
        <w:gridCol w:w="1386"/>
        <w:gridCol w:w="1365"/>
      </w:tblGrid>
      <w:tr w:rsidR="004F69F8" w:rsidTr="001C0E6D">
        <w:trPr>
          <w:trHeight w:val="600"/>
        </w:trPr>
        <w:tc>
          <w:tcPr>
            <w:tcW w:w="3997"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4F69F8"/>
        </w:tc>
        <w:tc>
          <w:tcPr>
            <w:tcW w:w="1293"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jc w:val="center"/>
            </w:pPr>
            <w:r>
              <w:rPr>
                <w:rFonts w:eastAsia="Calibri" w:hAnsi="Calibri" w:cs="Calibri"/>
                <w:lang w:val="en-US"/>
              </w:rPr>
              <w:t>Contour irregularity</w:t>
            </w:r>
          </w:p>
        </w:tc>
        <w:tc>
          <w:tcPr>
            <w:tcW w:w="1247"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jc w:val="center"/>
              <w:rPr>
                <w:rFonts w:eastAsia="Times New Roman" w:hAnsi="Times New Roman" w:cs="Times New Roman"/>
                <w:lang w:val="en-US"/>
              </w:rPr>
            </w:pPr>
            <w:r>
              <w:rPr>
                <w:rFonts w:eastAsia="Calibri" w:hAnsi="Calibri" w:cs="Calibri"/>
                <w:lang w:val="en-US"/>
              </w:rPr>
              <w:t>Minimal</w:t>
            </w:r>
          </w:p>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jc w:val="center"/>
            </w:pPr>
            <w:r>
              <w:rPr>
                <w:rFonts w:eastAsia="Calibri" w:hAnsi="Calibri" w:cs="Calibri"/>
                <w:lang w:val="en-US"/>
              </w:rPr>
              <w:t>stenosis</w:t>
            </w:r>
          </w:p>
        </w:tc>
        <w:tc>
          <w:tcPr>
            <w:tcW w:w="1386"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eastAsia="Times New Roman" w:hAnsi="Times New Roman" w:cs="Times New Roman"/>
                <w:lang w:val="en-US"/>
              </w:rPr>
            </w:pPr>
            <w:r>
              <w:rPr>
                <w:rFonts w:eastAsia="Calibri" w:hAnsi="Calibri" w:cs="Calibri"/>
                <w:lang w:val="en-US"/>
              </w:rPr>
              <w:t>Moderate</w:t>
            </w:r>
          </w:p>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pPr>
            <w:r>
              <w:rPr>
                <w:rFonts w:eastAsia="Calibri" w:hAnsi="Calibri" w:cs="Calibri"/>
                <w:lang w:val="en-US"/>
              </w:rPr>
              <w:t>stenosis</w:t>
            </w:r>
          </w:p>
        </w:tc>
        <w:tc>
          <w:tcPr>
            <w:tcW w:w="1365"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rPr>
                <w:rFonts w:eastAsia="Times New Roman" w:hAnsi="Times New Roman" w:cs="Times New Roman"/>
                <w:lang w:val="en-US"/>
              </w:rPr>
            </w:pPr>
            <w:r>
              <w:rPr>
                <w:rFonts w:eastAsia="Calibri" w:hAnsi="Calibri" w:cs="Calibri"/>
                <w:lang w:val="en-US"/>
              </w:rPr>
              <w:t>Severe</w:t>
            </w:r>
          </w:p>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stenosis</w:t>
            </w:r>
          </w:p>
        </w:tc>
      </w:tr>
      <w:tr w:rsidR="004F69F8" w:rsidTr="001C0E6D">
        <w:trPr>
          <w:trHeight w:val="595"/>
        </w:trPr>
        <w:tc>
          <w:tcPr>
            <w:tcW w:w="3997"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r>
              <w:rPr>
                <w:rFonts w:eastAsia="Calibri" w:hAnsi="Calibri" w:cs="Calibri"/>
                <w:lang w:val="en-US"/>
              </w:rPr>
              <w:t>Anterior system intracranial atherosclerosis</w:t>
            </w:r>
          </w:p>
        </w:tc>
        <w:tc>
          <w:tcPr>
            <w:tcW w:w="1293"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jc w:val="center"/>
            </w:pPr>
            <w:r>
              <w:rPr>
                <w:rFonts w:eastAsia="Calibri" w:hAnsi="Calibri" w:cs="Calibri"/>
                <w:lang w:val="en-US"/>
              </w:rPr>
              <w:t>4</w:t>
            </w:r>
          </w:p>
        </w:tc>
        <w:tc>
          <w:tcPr>
            <w:tcW w:w="1247"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jc w:val="center"/>
            </w:pPr>
            <w:r>
              <w:rPr>
                <w:rFonts w:eastAsia="Calibri" w:hAnsi="Calibri" w:cs="Calibri"/>
                <w:lang w:val="en-US"/>
              </w:rPr>
              <w:t>3</w:t>
            </w:r>
          </w:p>
        </w:tc>
        <w:tc>
          <w:tcPr>
            <w:tcW w:w="1386"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pPr>
            <w:r>
              <w:rPr>
                <w:rFonts w:eastAsia="Calibri" w:hAnsi="Calibri" w:cs="Calibri"/>
                <w:lang w:val="en-US"/>
              </w:rPr>
              <w:t>10</w:t>
            </w:r>
          </w:p>
        </w:tc>
        <w:tc>
          <w:tcPr>
            <w:tcW w:w="1365"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21</w:t>
            </w:r>
          </w:p>
        </w:tc>
      </w:tr>
      <w:tr w:rsidR="004F69F8" w:rsidTr="001C0E6D">
        <w:trPr>
          <w:trHeight w:val="290"/>
        </w:trPr>
        <w:tc>
          <w:tcPr>
            <w:tcW w:w="3997"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r>
              <w:rPr>
                <w:rFonts w:eastAsia="Calibri" w:hAnsi="Calibri" w:cs="Calibri"/>
                <w:lang w:val="en-US"/>
              </w:rPr>
              <w:t>Elevated serum uric acid level</w:t>
            </w:r>
          </w:p>
        </w:tc>
        <w:tc>
          <w:tcPr>
            <w:tcW w:w="129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jc w:val="center"/>
            </w:pPr>
            <w:r>
              <w:rPr>
                <w:rFonts w:eastAsia="Calibri" w:hAnsi="Calibri" w:cs="Calibri"/>
                <w:lang w:val="en-US"/>
              </w:rPr>
              <w:t>0</w:t>
            </w:r>
          </w:p>
        </w:tc>
        <w:tc>
          <w:tcPr>
            <w:tcW w:w="1247"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jc w:val="center"/>
            </w:pPr>
            <w:r>
              <w:rPr>
                <w:rFonts w:eastAsia="Calibri" w:hAnsi="Calibri" w:cs="Calibri"/>
                <w:lang w:val="en-US"/>
              </w:rPr>
              <w:t>2</w:t>
            </w:r>
          </w:p>
        </w:tc>
        <w:tc>
          <w:tcPr>
            <w:tcW w:w="1386"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pPr>
            <w:r>
              <w:rPr>
                <w:rFonts w:eastAsia="Calibri" w:hAnsi="Calibri" w:cs="Calibri"/>
                <w:lang w:val="en-US"/>
              </w:rPr>
              <w:t>1</w:t>
            </w:r>
          </w:p>
        </w:tc>
        <w:tc>
          <w:tcPr>
            <w:tcW w:w="1365"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5</w:t>
            </w:r>
          </w:p>
        </w:tc>
      </w:tr>
      <w:tr w:rsidR="004F69F8" w:rsidTr="001C0E6D">
        <w:trPr>
          <w:trHeight w:val="590"/>
        </w:trPr>
        <w:tc>
          <w:tcPr>
            <w:tcW w:w="3997"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r>
              <w:rPr>
                <w:rFonts w:eastAsia="Calibri" w:hAnsi="Calibri" w:cs="Calibri"/>
                <w:lang w:val="en-US"/>
              </w:rPr>
              <w:t xml:space="preserve">Anterior system </w:t>
            </w:r>
            <w:proofErr w:type="spellStart"/>
            <w:r>
              <w:rPr>
                <w:rFonts w:eastAsia="Calibri" w:hAnsi="Calibri" w:cs="Calibri"/>
                <w:lang w:val="en-US"/>
              </w:rPr>
              <w:t>extracranial</w:t>
            </w:r>
            <w:proofErr w:type="spellEnd"/>
            <w:r>
              <w:rPr>
                <w:rFonts w:eastAsia="Calibri" w:hAnsi="Calibri" w:cs="Calibri"/>
                <w:lang w:val="en-US"/>
              </w:rPr>
              <w:t xml:space="preserve"> atherosclerosis</w:t>
            </w:r>
          </w:p>
        </w:tc>
        <w:tc>
          <w:tcPr>
            <w:tcW w:w="129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jc w:val="center"/>
            </w:pPr>
            <w:r>
              <w:rPr>
                <w:rFonts w:eastAsia="Calibri" w:hAnsi="Calibri" w:cs="Calibri"/>
                <w:lang w:val="en-US"/>
              </w:rPr>
              <w:t>80</w:t>
            </w:r>
          </w:p>
        </w:tc>
        <w:tc>
          <w:tcPr>
            <w:tcW w:w="1247"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jc w:val="center"/>
            </w:pPr>
            <w:r>
              <w:rPr>
                <w:rFonts w:eastAsia="Calibri" w:hAnsi="Calibri" w:cs="Calibri"/>
                <w:lang w:val="en-US"/>
              </w:rPr>
              <w:t>14</w:t>
            </w:r>
          </w:p>
        </w:tc>
        <w:tc>
          <w:tcPr>
            <w:tcW w:w="1386"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pPr>
            <w:r>
              <w:rPr>
                <w:rFonts w:eastAsia="Calibri" w:hAnsi="Calibri" w:cs="Calibri"/>
                <w:lang w:val="en-US"/>
              </w:rPr>
              <w:t>25</w:t>
            </w:r>
          </w:p>
        </w:tc>
        <w:tc>
          <w:tcPr>
            <w:tcW w:w="1365"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33</w:t>
            </w:r>
          </w:p>
        </w:tc>
      </w:tr>
      <w:tr w:rsidR="004F69F8" w:rsidTr="001C0E6D">
        <w:trPr>
          <w:trHeight w:val="290"/>
        </w:trPr>
        <w:tc>
          <w:tcPr>
            <w:tcW w:w="3997"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r>
              <w:rPr>
                <w:rFonts w:eastAsia="Calibri" w:hAnsi="Calibri" w:cs="Calibri"/>
                <w:lang w:val="en-US"/>
              </w:rPr>
              <w:t>Elevated serum uric acid level</w:t>
            </w:r>
          </w:p>
        </w:tc>
        <w:tc>
          <w:tcPr>
            <w:tcW w:w="129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jc w:val="center"/>
            </w:pPr>
            <w:r>
              <w:rPr>
                <w:rFonts w:eastAsia="Calibri" w:hAnsi="Calibri" w:cs="Calibri"/>
                <w:lang w:val="en-US"/>
              </w:rPr>
              <w:t>31</w:t>
            </w:r>
          </w:p>
        </w:tc>
        <w:tc>
          <w:tcPr>
            <w:tcW w:w="1247"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jc w:val="center"/>
            </w:pPr>
            <w:r>
              <w:rPr>
                <w:rFonts w:eastAsia="Calibri" w:hAnsi="Calibri" w:cs="Calibri"/>
                <w:lang w:val="en-US"/>
              </w:rPr>
              <w:t>2</w:t>
            </w:r>
          </w:p>
        </w:tc>
        <w:tc>
          <w:tcPr>
            <w:tcW w:w="1386"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pPr>
            <w:r>
              <w:rPr>
                <w:rFonts w:eastAsia="Calibri" w:hAnsi="Calibri" w:cs="Calibri"/>
                <w:lang w:val="en-US"/>
              </w:rPr>
              <w:t>6</w:t>
            </w:r>
          </w:p>
        </w:tc>
        <w:tc>
          <w:tcPr>
            <w:tcW w:w="1365"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9</w:t>
            </w:r>
          </w:p>
        </w:tc>
      </w:tr>
      <w:tr w:rsidR="004F69F8" w:rsidTr="001C0E6D">
        <w:trPr>
          <w:trHeight w:val="590"/>
        </w:trPr>
        <w:tc>
          <w:tcPr>
            <w:tcW w:w="3997"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r>
              <w:rPr>
                <w:rFonts w:eastAsia="Calibri" w:hAnsi="Calibri" w:cs="Calibri"/>
                <w:lang w:val="en-US"/>
              </w:rPr>
              <w:t>Posterior system intracranial atherosclerosis</w:t>
            </w:r>
          </w:p>
        </w:tc>
        <w:tc>
          <w:tcPr>
            <w:tcW w:w="129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jc w:val="center"/>
            </w:pPr>
            <w:r>
              <w:rPr>
                <w:rFonts w:eastAsia="Calibri" w:hAnsi="Calibri" w:cs="Calibri"/>
                <w:lang w:val="en-US"/>
              </w:rPr>
              <w:t>5</w:t>
            </w:r>
          </w:p>
        </w:tc>
        <w:tc>
          <w:tcPr>
            <w:tcW w:w="1247"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jc w:val="center"/>
            </w:pPr>
            <w:r>
              <w:rPr>
                <w:rFonts w:eastAsia="Calibri" w:hAnsi="Calibri" w:cs="Calibri"/>
                <w:lang w:val="en-US"/>
              </w:rPr>
              <w:t>1</w:t>
            </w:r>
          </w:p>
        </w:tc>
        <w:tc>
          <w:tcPr>
            <w:tcW w:w="1386"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pPr>
            <w:r>
              <w:rPr>
                <w:rFonts w:eastAsia="Calibri" w:hAnsi="Calibri" w:cs="Calibri"/>
                <w:lang w:val="en-US"/>
              </w:rPr>
              <w:t>4</w:t>
            </w:r>
          </w:p>
        </w:tc>
        <w:tc>
          <w:tcPr>
            <w:tcW w:w="1365"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17</w:t>
            </w:r>
          </w:p>
        </w:tc>
      </w:tr>
      <w:tr w:rsidR="004F69F8" w:rsidTr="001C0E6D">
        <w:trPr>
          <w:trHeight w:val="290"/>
        </w:trPr>
        <w:tc>
          <w:tcPr>
            <w:tcW w:w="3997"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r>
              <w:rPr>
                <w:rFonts w:eastAsia="Calibri" w:hAnsi="Calibri" w:cs="Calibri"/>
                <w:lang w:val="en-US"/>
              </w:rPr>
              <w:t>Elevated serum uric acid level</w:t>
            </w:r>
          </w:p>
        </w:tc>
        <w:tc>
          <w:tcPr>
            <w:tcW w:w="129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jc w:val="center"/>
            </w:pPr>
            <w:r>
              <w:rPr>
                <w:rFonts w:eastAsia="Calibri" w:hAnsi="Calibri" w:cs="Calibri"/>
                <w:lang w:val="en-US"/>
              </w:rPr>
              <w:t>0</w:t>
            </w:r>
          </w:p>
        </w:tc>
        <w:tc>
          <w:tcPr>
            <w:tcW w:w="1247"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jc w:val="center"/>
            </w:pPr>
            <w:r>
              <w:rPr>
                <w:rFonts w:eastAsia="Calibri" w:hAnsi="Calibri" w:cs="Calibri"/>
                <w:lang w:val="en-US"/>
              </w:rPr>
              <w:t>0</w:t>
            </w:r>
          </w:p>
        </w:tc>
        <w:tc>
          <w:tcPr>
            <w:tcW w:w="1386"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pPr>
            <w:r>
              <w:rPr>
                <w:rFonts w:eastAsia="Calibri" w:hAnsi="Calibri" w:cs="Calibri"/>
                <w:lang w:val="en-US"/>
              </w:rPr>
              <w:t>0</w:t>
            </w:r>
          </w:p>
        </w:tc>
        <w:tc>
          <w:tcPr>
            <w:tcW w:w="1365"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4</w:t>
            </w:r>
          </w:p>
        </w:tc>
      </w:tr>
      <w:tr w:rsidR="004F69F8" w:rsidTr="001C0E6D">
        <w:trPr>
          <w:trHeight w:val="590"/>
        </w:trPr>
        <w:tc>
          <w:tcPr>
            <w:tcW w:w="3997"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r>
              <w:rPr>
                <w:rFonts w:eastAsia="Calibri" w:hAnsi="Calibri" w:cs="Calibri"/>
                <w:lang w:val="en-US"/>
              </w:rPr>
              <w:t xml:space="preserve">Posterior system </w:t>
            </w:r>
            <w:proofErr w:type="spellStart"/>
            <w:r>
              <w:rPr>
                <w:rFonts w:eastAsia="Calibri" w:hAnsi="Calibri" w:cs="Calibri"/>
                <w:lang w:val="en-US"/>
              </w:rPr>
              <w:t>extracranial</w:t>
            </w:r>
            <w:proofErr w:type="spellEnd"/>
            <w:r>
              <w:rPr>
                <w:rFonts w:eastAsia="Calibri" w:hAnsi="Calibri" w:cs="Calibri"/>
                <w:lang w:val="en-US"/>
              </w:rPr>
              <w:t xml:space="preserve"> atherosclerosis</w:t>
            </w:r>
          </w:p>
        </w:tc>
        <w:tc>
          <w:tcPr>
            <w:tcW w:w="129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jc w:val="center"/>
            </w:pPr>
            <w:r>
              <w:rPr>
                <w:rFonts w:eastAsia="Calibri" w:hAnsi="Calibri" w:cs="Calibri"/>
                <w:lang w:val="en-US"/>
              </w:rPr>
              <w:t>11</w:t>
            </w:r>
          </w:p>
        </w:tc>
        <w:tc>
          <w:tcPr>
            <w:tcW w:w="1247"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jc w:val="center"/>
            </w:pPr>
            <w:r>
              <w:rPr>
                <w:rFonts w:eastAsia="Calibri" w:hAnsi="Calibri" w:cs="Calibri"/>
                <w:lang w:val="en-US"/>
              </w:rPr>
              <w:t>3</w:t>
            </w:r>
          </w:p>
        </w:tc>
        <w:tc>
          <w:tcPr>
            <w:tcW w:w="1386"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pPr>
            <w:r>
              <w:rPr>
                <w:rFonts w:eastAsia="Calibri" w:hAnsi="Calibri" w:cs="Calibri"/>
                <w:lang w:val="en-US"/>
              </w:rPr>
              <w:t>4</w:t>
            </w:r>
          </w:p>
        </w:tc>
        <w:tc>
          <w:tcPr>
            <w:tcW w:w="1365"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16</w:t>
            </w:r>
          </w:p>
        </w:tc>
      </w:tr>
      <w:tr w:rsidR="004F69F8" w:rsidTr="001C0E6D">
        <w:trPr>
          <w:trHeight w:val="295"/>
        </w:trPr>
        <w:tc>
          <w:tcPr>
            <w:tcW w:w="3997" w:type="dxa"/>
            <w:tcBorders>
              <w:top w:val="nil"/>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r>
              <w:rPr>
                <w:rFonts w:eastAsia="Calibri" w:hAnsi="Calibri" w:cs="Calibri"/>
                <w:lang w:val="en-US"/>
              </w:rPr>
              <w:t>Elevated serum uric acid level</w:t>
            </w:r>
          </w:p>
        </w:tc>
        <w:tc>
          <w:tcPr>
            <w:tcW w:w="1293" w:type="dxa"/>
            <w:tcBorders>
              <w:top w:val="nil"/>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jc w:val="center"/>
            </w:pPr>
            <w:r>
              <w:rPr>
                <w:rFonts w:eastAsia="Calibri" w:hAnsi="Calibri" w:cs="Calibri"/>
                <w:lang w:val="en-US"/>
              </w:rPr>
              <w:t>3</w:t>
            </w:r>
          </w:p>
        </w:tc>
        <w:tc>
          <w:tcPr>
            <w:tcW w:w="1247" w:type="dxa"/>
            <w:tcBorders>
              <w:top w:val="nil"/>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jc w:val="center"/>
            </w:pPr>
            <w:r>
              <w:rPr>
                <w:rFonts w:eastAsia="Calibri" w:hAnsi="Calibri" w:cs="Calibri"/>
                <w:lang w:val="en-US"/>
              </w:rPr>
              <w:t>0</w:t>
            </w:r>
          </w:p>
        </w:tc>
        <w:tc>
          <w:tcPr>
            <w:tcW w:w="1386" w:type="dxa"/>
            <w:tcBorders>
              <w:top w:val="nil"/>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pPr>
            <w:r>
              <w:rPr>
                <w:rFonts w:eastAsia="Calibri" w:hAnsi="Calibri" w:cs="Calibri"/>
                <w:lang w:val="en-US"/>
              </w:rPr>
              <w:t>0</w:t>
            </w:r>
          </w:p>
        </w:tc>
        <w:tc>
          <w:tcPr>
            <w:tcW w:w="1365" w:type="dxa"/>
            <w:tcBorders>
              <w:top w:val="nil"/>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3</w:t>
            </w:r>
          </w:p>
        </w:tc>
      </w:tr>
    </w:tbl>
    <w:p w:rsidR="004F69F8" w:rsidRDefault="004F69F8">
      <w:pPr>
        <w:pStyle w:val="Gvde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b/>
          <w:bCs/>
        </w:rPr>
      </w:pPr>
    </w:p>
    <w:p w:rsidR="004F69F8" w:rsidRDefault="000D5DB9">
      <w:pPr>
        <w:pStyle w:val="Gvde"/>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jc w:val="both"/>
        <w:rPr>
          <w:rFonts w:eastAsia="Times New Roman" w:hAnsi="Times New Roman" w:cs="Times New Roman"/>
        </w:rPr>
      </w:pPr>
      <w:r>
        <w:rPr>
          <w:rFonts w:eastAsia="Calibri" w:hAnsi="Calibri" w:cs="Calibri"/>
          <w:lang w:val="en-US"/>
        </w:rPr>
        <w:t xml:space="preserve">The first line shows the number of patients with several degrees of atherosclerosis, the second line shows the number of patients with high uric acid levels.  </w:t>
      </w:r>
    </w:p>
    <w:p w:rsidR="004F69F8" w:rsidRDefault="000D5DB9">
      <w:pPr>
        <w:pStyle w:val="Gvde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line="360" w:lineRule="auto"/>
        <w:jc w:val="both"/>
      </w:pPr>
      <w:r>
        <w:rPr>
          <w:b/>
          <w:bCs/>
        </w:rPr>
        <w:t xml:space="preserve">Table 2: </w:t>
      </w:r>
      <w:r>
        <w:t>Serum uric acid levels and lesion localization association</w:t>
      </w:r>
    </w:p>
    <w:tbl>
      <w:tblPr>
        <w:tblStyle w:val="TableNormal1"/>
        <w:tblW w:w="907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96"/>
        <w:gridCol w:w="2096"/>
        <w:gridCol w:w="160"/>
        <w:gridCol w:w="1100"/>
        <w:gridCol w:w="1322"/>
        <w:gridCol w:w="1077"/>
        <w:gridCol w:w="1121"/>
      </w:tblGrid>
      <w:tr w:rsidR="004F69F8">
        <w:trPr>
          <w:trHeight w:val="300"/>
        </w:trPr>
        <w:tc>
          <w:tcPr>
            <w:tcW w:w="2195"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4F69F8"/>
        </w:tc>
        <w:tc>
          <w:tcPr>
            <w:tcW w:w="2096"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4F69F8"/>
        </w:tc>
        <w:tc>
          <w:tcPr>
            <w:tcW w:w="1260" w:type="dxa"/>
            <w:gridSpan w:val="2"/>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4F69F8"/>
        </w:tc>
        <w:tc>
          <w:tcPr>
            <w:tcW w:w="1322"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4F69F8"/>
        </w:tc>
        <w:tc>
          <w:tcPr>
            <w:tcW w:w="1077"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4F69F8"/>
        </w:tc>
        <w:tc>
          <w:tcPr>
            <w:tcW w:w="1121"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4F69F8"/>
        </w:tc>
      </w:tr>
      <w:tr w:rsidR="004F69F8">
        <w:trPr>
          <w:trHeight w:val="595"/>
        </w:trPr>
        <w:tc>
          <w:tcPr>
            <w:tcW w:w="2195"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0D5DB9">
            <w:pPr>
              <w:pStyle w:val="Gvde"/>
            </w:pPr>
            <w:r>
              <w:rPr>
                <w:rFonts w:eastAsia="Calibri" w:hAnsi="Calibri" w:cs="Calibri"/>
                <w:lang w:val="en-US"/>
              </w:rPr>
              <w:t>Lesion localization</w:t>
            </w:r>
          </w:p>
        </w:tc>
        <w:tc>
          <w:tcPr>
            <w:tcW w:w="2256" w:type="dxa"/>
            <w:gridSpan w:val="2"/>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0D5DB9">
            <w:pPr>
              <w:pStyle w:val="Gvde"/>
              <w:jc w:val="center"/>
              <w:rPr>
                <w:rFonts w:eastAsia="Times New Roman" w:hAnsi="Times New Roman" w:cs="Times New Roman"/>
                <w:lang w:val="en-US"/>
              </w:rPr>
            </w:pPr>
            <w:r>
              <w:rPr>
                <w:rFonts w:eastAsia="Calibri" w:hAnsi="Calibri" w:cs="Calibri"/>
                <w:lang w:val="en-US"/>
              </w:rPr>
              <w:t xml:space="preserve">Mean </w:t>
            </w:r>
            <w:r>
              <w:rPr>
                <w:rFonts w:ascii="Calibri" w:eastAsia="Calibri" w:hAnsi="Times New Roman" w:cs="Calibri"/>
                <w:lang w:val="en-US"/>
              </w:rPr>
              <w:t>±</w:t>
            </w:r>
            <w:r>
              <w:rPr>
                <w:rFonts w:ascii="Calibri" w:eastAsia="Calibri" w:hAnsi="Times New Roman" w:cs="Calibri"/>
                <w:lang w:val="en-US"/>
              </w:rPr>
              <w:t xml:space="preserve"> </w:t>
            </w:r>
            <w:r>
              <w:rPr>
                <w:rFonts w:eastAsia="Calibri" w:hAnsi="Calibri" w:cs="Calibri"/>
                <w:lang w:val="en-US"/>
              </w:rPr>
              <w:t>SD</w:t>
            </w:r>
          </w:p>
          <w:p w:rsidR="004F69F8" w:rsidRDefault="000D5DB9">
            <w:pPr>
              <w:pStyle w:val="Gvde"/>
              <w:jc w:val="center"/>
            </w:pPr>
            <w:r>
              <w:rPr>
                <w:rFonts w:eastAsia="Calibri" w:hAnsi="Calibri" w:cs="Calibri"/>
                <w:lang w:val="en-US"/>
              </w:rPr>
              <w:t>(Min-Max)</w:t>
            </w:r>
          </w:p>
        </w:tc>
        <w:tc>
          <w:tcPr>
            <w:tcW w:w="1100"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s>
              <w:jc w:val="center"/>
              <w:rPr>
                <w:rFonts w:eastAsia="Times New Roman" w:hAnsi="Times New Roman" w:cs="Times New Roman"/>
                <w:lang w:val="en-US"/>
              </w:rPr>
            </w:pPr>
            <w:r>
              <w:rPr>
                <w:rFonts w:eastAsia="Calibri" w:hAnsi="Calibri" w:cs="Calibri"/>
                <w:lang w:val="en-US"/>
              </w:rPr>
              <w:t>Normal</w:t>
            </w:r>
          </w:p>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s>
              <w:jc w:val="center"/>
            </w:pPr>
            <w:r>
              <w:rPr>
                <w:rFonts w:eastAsia="Calibri" w:hAnsi="Calibri" w:cs="Calibri"/>
                <w:lang w:val="en-US"/>
              </w:rPr>
              <w:t>n</w:t>
            </w:r>
          </w:p>
        </w:tc>
        <w:tc>
          <w:tcPr>
            <w:tcW w:w="1322"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jc w:val="center"/>
              <w:rPr>
                <w:rFonts w:eastAsia="Times New Roman" w:hAnsi="Times New Roman" w:cs="Times New Roman"/>
                <w:lang w:val="en-US"/>
              </w:rPr>
            </w:pPr>
            <w:r>
              <w:rPr>
                <w:rFonts w:eastAsia="Calibri" w:hAnsi="Calibri" w:cs="Calibri"/>
                <w:lang w:val="en-US"/>
              </w:rPr>
              <w:t>Abnormal</w:t>
            </w:r>
          </w:p>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jc w:val="center"/>
            </w:pPr>
            <w:r>
              <w:rPr>
                <w:rFonts w:eastAsia="Calibri" w:hAnsi="Calibri" w:cs="Calibri"/>
                <w:lang w:val="en-US"/>
              </w:rPr>
              <w:t>n</w:t>
            </w:r>
          </w:p>
        </w:tc>
        <w:tc>
          <w:tcPr>
            <w:tcW w:w="1077"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4F69F8">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s>
              <w:jc w:val="center"/>
              <w:rPr>
                <w:i/>
                <w:iCs/>
                <w:lang w:val="en-US"/>
              </w:rPr>
            </w:pPr>
          </w:p>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s>
              <w:jc w:val="center"/>
            </w:pPr>
            <w:r>
              <w:rPr>
                <w:rFonts w:eastAsia="Calibri" w:hAnsi="Calibri" w:cs="Calibri"/>
                <w:lang w:val="en-US"/>
              </w:rPr>
              <w:t>%</w:t>
            </w:r>
          </w:p>
        </w:tc>
        <w:tc>
          <w:tcPr>
            <w:tcW w:w="1121"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4F69F8">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s>
              <w:jc w:val="center"/>
              <w:rPr>
                <w:i/>
                <w:iCs/>
                <w:lang w:val="en-US"/>
              </w:rPr>
            </w:pPr>
          </w:p>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s>
              <w:jc w:val="center"/>
            </w:pPr>
            <w:r>
              <w:rPr>
                <w:rFonts w:eastAsia="Calibri" w:hAnsi="Calibri" w:cs="Calibri"/>
                <w:i/>
                <w:iCs/>
                <w:lang w:val="en-US"/>
              </w:rPr>
              <w:t>p</w:t>
            </w:r>
          </w:p>
        </w:tc>
      </w:tr>
      <w:tr w:rsidR="004F69F8">
        <w:trPr>
          <w:trHeight w:val="590"/>
        </w:trPr>
        <w:tc>
          <w:tcPr>
            <w:tcW w:w="2195"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TACI</w:t>
            </w:r>
            <w:r>
              <w:rPr>
                <w:rFonts w:eastAsia="Calibri" w:hAnsi="Calibri" w:cs="Calibri"/>
                <w:vertAlign w:val="superscript"/>
                <w:lang w:val="en-US"/>
              </w:rPr>
              <w:t>1</w:t>
            </w:r>
          </w:p>
        </w:tc>
        <w:tc>
          <w:tcPr>
            <w:tcW w:w="2256" w:type="dxa"/>
            <w:gridSpan w:val="2"/>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jc w:val="center"/>
              <w:rPr>
                <w:rFonts w:eastAsia="Times New Roman" w:hAnsi="Times New Roman" w:cs="Times New Roman"/>
                <w:lang w:val="en-US"/>
              </w:rPr>
            </w:pPr>
            <w:r>
              <w:rPr>
                <w:rFonts w:eastAsia="Calibri" w:hAnsi="Calibri" w:cs="Calibri"/>
                <w:lang w:val="en-US"/>
              </w:rPr>
              <w:t xml:space="preserve"> 4.77</w:t>
            </w:r>
            <w:r>
              <w:rPr>
                <w:rFonts w:ascii="Calibri" w:eastAsia="Calibri" w:hAnsi="Times New Roman" w:cs="Calibri"/>
                <w:lang w:val="en-US"/>
              </w:rPr>
              <w:t>±</w:t>
            </w:r>
            <w:r>
              <w:rPr>
                <w:rFonts w:eastAsia="Calibri" w:hAnsi="Calibri" w:cs="Calibri"/>
                <w:lang w:val="en-US"/>
              </w:rPr>
              <w:t>1.38</w:t>
            </w:r>
          </w:p>
          <w:p w:rsidR="004F69F8" w:rsidRDefault="000D5DB9">
            <w:pPr>
              <w:pStyle w:val="Gvde"/>
              <w:jc w:val="center"/>
            </w:pPr>
            <w:r>
              <w:rPr>
                <w:rFonts w:eastAsia="Calibri" w:hAnsi="Calibri" w:cs="Calibri"/>
                <w:lang w:val="en-US"/>
              </w:rPr>
              <w:t>2.70</w:t>
            </w:r>
            <w:r>
              <w:rPr>
                <w:rFonts w:ascii="Calibri" w:eastAsia="Calibri" w:hAnsi="Times New Roman" w:cs="Calibri"/>
                <w:lang w:val="en-US"/>
              </w:rPr>
              <w:t>±</w:t>
            </w:r>
            <w:r>
              <w:rPr>
                <w:rFonts w:eastAsia="Calibri" w:hAnsi="Calibri" w:cs="Calibri"/>
                <w:lang w:val="en-US"/>
              </w:rPr>
              <w:t>7.70</w:t>
            </w:r>
          </w:p>
        </w:tc>
        <w:tc>
          <w:tcPr>
            <w:tcW w:w="1100"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s>
              <w:jc w:val="center"/>
            </w:pPr>
            <w:r>
              <w:rPr>
                <w:rFonts w:eastAsia="Calibri" w:hAnsi="Calibri" w:cs="Calibri"/>
                <w:lang w:val="en-US"/>
              </w:rPr>
              <w:t>10</w:t>
            </w:r>
          </w:p>
        </w:tc>
        <w:tc>
          <w:tcPr>
            <w:tcW w:w="1322"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jc w:val="center"/>
            </w:pPr>
            <w:r>
              <w:rPr>
                <w:rFonts w:eastAsia="Calibri" w:hAnsi="Calibri" w:cs="Calibri"/>
                <w:lang w:val="en-US"/>
              </w:rPr>
              <w:t>2</w:t>
            </w:r>
          </w:p>
        </w:tc>
        <w:tc>
          <w:tcPr>
            <w:tcW w:w="1077"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s>
              <w:jc w:val="center"/>
            </w:pPr>
            <w:r>
              <w:rPr>
                <w:rFonts w:eastAsia="Calibri" w:hAnsi="Calibri" w:cs="Calibri"/>
                <w:lang w:val="en-US"/>
              </w:rPr>
              <w:t>16.7</w:t>
            </w:r>
          </w:p>
        </w:tc>
        <w:tc>
          <w:tcPr>
            <w:tcW w:w="1121" w:type="dxa"/>
            <w:vMerge w:val="restart"/>
            <w:tcBorders>
              <w:top w:val="nil"/>
              <w:left w:val="nil"/>
              <w:bottom w:val="single" w:sz="4" w:space="0" w:color="5B9BD5"/>
              <w:right w:val="nil"/>
            </w:tcBorders>
            <w:shd w:val="clear" w:color="auto" w:fill="auto"/>
            <w:tcMar>
              <w:top w:w="80" w:type="dxa"/>
              <w:left w:w="80" w:type="dxa"/>
              <w:bottom w:w="80" w:type="dxa"/>
              <w:right w:w="80" w:type="dxa"/>
            </w:tcMar>
          </w:tcPr>
          <w:p w:rsidR="004F69F8" w:rsidRDefault="004F69F8">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s>
              <w:jc w:val="center"/>
              <w:rPr>
                <w:lang w:val="en-US"/>
              </w:rPr>
            </w:pPr>
          </w:p>
          <w:p w:rsidR="004F69F8" w:rsidRDefault="004F69F8">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s>
              <w:jc w:val="center"/>
              <w:rPr>
                <w:lang w:val="en-US"/>
              </w:rPr>
            </w:pPr>
          </w:p>
          <w:p w:rsidR="004F69F8" w:rsidRDefault="004F69F8">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s>
              <w:jc w:val="center"/>
              <w:rPr>
                <w:lang w:val="en-US"/>
              </w:rPr>
            </w:pPr>
          </w:p>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s>
              <w:jc w:val="center"/>
            </w:pPr>
            <w:r>
              <w:rPr>
                <w:rFonts w:eastAsia="Calibri" w:hAnsi="Calibri" w:cs="Calibri"/>
                <w:lang w:val="en-US"/>
              </w:rPr>
              <w:t>0.06*</w:t>
            </w:r>
          </w:p>
        </w:tc>
      </w:tr>
      <w:tr w:rsidR="004F69F8">
        <w:trPr>
          <w:trHeight w:val="590"/>
        </w:trPr>
        <w:tc>
          <w:tcPr>
            <w:tcW w:w="2195"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pPr>
            <w:r>
              <w:rPr>
                <w:rFonts w:eastAsia="Calibri" w:hAnsi="Calibri" w:cs="Calibri"/>
                <w:lang w:val="en-US"/>
              </w:rPr>
              <w:t>PACI</w:t>
            </w:r>
            <w:r>
              <w:rPr>
                <w:rFonts w:eastAsia="Calibri" w:hAnsi="Calibri" w:cs="Calibri"/>
                <w:vertAlign w:val="superscript"/>
                <w:lang w:val="en-US"/>
              </w:rPr>
              <w:t>2</w:t>
            </w:r>
          </w:p>
        </w:tc>
        <w:tc>
          <w:tcPr>
            <w:tcW w:w="2256" w:type="dxa"/>
            <w:gridSpan w:val="2"/>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jc w:val="center"/>
              <w:rPr>
                <w:rFonts w:eastAsia="Times New Roman" w:hAnsi="Times New Roman" w:cs="Times New Roman"/>
                <w:lang w:val="en-US"/>
              </w:rPr>
            </w:pPr>
            <w:r>
              <w:rPr>
                <w:rFonts w:eastAsia="Calibri" w:hAnsi="Calibri" w:cs="Calibri"/>
                <w:lang w:val="en-US"/>
              </w:rPr>
              <w:t>5.50</w:t>
            </w:r>
            <w:r>
              <w:rPr>
                <w:rFonts w:ascii="Calibri" w:eastAsia="Calibri" w:hAnsi="Times New Roman" w:cs="Calibri"/>
                <w:lang w:val="en-US"/>
              </w:rPr>
              <w:t>±</w:t>
            </w:r>
            <w:r>
              <w:rPr>
                <w:rFonts w:eastAsia="Calibri" w:hAnsi="Calibri" w:cs="Calibri"/>
                <w:lang w:val="en-US"/>
              </w:rPr>
              <w:t>1.74</w:t>
            </w:r>
          </w:p>
          <w:p w:rsidR="004F69F8" w:rsidRDefault="000D5DB9">
            <w:pPr>
              <w:pStyle w:val="Gvde"/>
              <w:jc w:val="center"/>
            </w:pPr>
            <w:r>
              <w:rPr>
                <w:rFonts w:eastAsia="Calibri" w:hAnsi="Calibri" w:cs="Calibri"/>
                <w:lang w:val="en-US"/>
              </w:rPr>
              <w:t>(2.30-10.7)</w:t>
            </w:r>
          </w:p>
        </w:tc>
        <w:tc>
          <w:tcPr>
            <w:tcW w:w="1100"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s>
              <w:jc w:val="center"/>
            </w:pPr>
            <w:r>
              <w:rPr>
                <w:rFonts w:eastAsia="Calibri" w:hAnsi="Calibri" w:cs="Calibri"/>
                <w:lang w:val="en-US"/>
              </w:rPr>
              <w:t>46</w:t>
            </w:r>
          </w:p>
        </w:tc>
        <w:tc>
          <w:tcPr>
            <w:tcW w:w="1322"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jc w:val="center"/>
            </w:pPr>
            <w:r>
              <w:rPr>
                <w:rFonts w:eastAsia="Calibri" w:hAnsi="Calibri" w:cs="Calibri"/>
                <w:lang w:val="en-US"/>
              </w:rPr>
              <w:t>16</w:t>
            </w:r>
          </w:p>
        </w:tc>
        <w:tc>
          <w:tcPr>
            <w:tcW w:w="1077"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s>
              <w:jc w:val="center"/>
            </w:pPr>
            <w:r>
              <w:rPr>
                <w:rFonts w:eastAsia="Calibri" w:hAnsi="Calibri" w:cs="Calibri"/>
                <w:lang w:val="en-US"/>
              </w:rPr>
              <w:t>42</w:t>
            </w:r>
          </w:p>
        </w:tc>
        <w:tc>
          <w:tcPr>
            <w:tcW w:w="1121" w:type="dxa"/>
            <w:vMerge/>
            <w:tcBorders>
              <w:top w:val="nil"/>
              <w:left w:val="nil"/>
              <w:bottom w:val="single" w:sz="4" w:space="0" w:color="5B9BD5"/>
              <w:right w:val="nil"/>
            </w:tcBorders>
            <w:shd w:val="clear" w:color="auto" w:fill="auto"/>
          </w:tcPr>
          <w:p w:rsidR="004F69F8" w:rsidRDefault="004F69F8"/>
        </w:tc>
      </w:tr>
      <w:tr w:rsidR="004F69F8">
        <w:trPr>
          <w:trHeight w:val="590"/>
        </w:trPr>
        <w:tc>
          <w:tcPr>
            <w:tcW w:w="2195"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POCI</w:t>
            </w:r>
            <w:r>
              <w:rPr>
                <w:rFonts w:eastAsia="Calibri" w:hAnsi="Calibri" w:cs="Calibri"/>
                <w:vertAlign w:val="superscript"/>
                <w:lang w:val="en-US"/>
              </w:rPr>
              <w:t>3</w:t>
            </w:r>
          </w:p>
        </w:tc>
        <w:tc>
          <w:tcPr>
            <w:tcW w:w="2256" w:type="dxa"/>
            <w:gridSpan w:val="2"/>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jc w:val="center"/>
              <w:rPr>
                <w:rFonts w:eastAsia="Times New Roman" w:hAnsi="Times New Roman" w:cs="Times New Roman"/>
                <w:lang w:val="en-US"/>
              </w:rPr>
            </w:pPr>
            <w:r>
              <w:rPr>
                <w:rFonts w:eastAsia="Calibri" w:hAnsi="Calibri" w:cs="Calibri"/>
                <w:lang w:val="en-US"/>
              </w:rPr>
              <w:t>5.34</w:t>
            </w:r>
            <w:r>
              <w:rPr>
                <w:rFonts w:ascii="Calibri" w:eastAsia="Calibri" w:hAnsi="Times New Roman" w:cs="Calibri"/>
                <w:lang w:val="en-US"/>
              </w:rPr>
              <w:t>±</w:t>
            </w:r>
            <w:r>
              <w:rPr>
                <w:rFonts w:eastAsia="Calibri" w:hAnsi="Calibri" w:cs="Calibri"/>
                <w:lang w:val="en-US"/>
              </w:rPr>
              <w:t>1.44</w:t>
            </w:r>
          </w:p>
          <w:p w:rsidR="004F69F8" w:rsidRDefault="000D5DB9">
            <w:pPr>
              <w:pStyle w:val="Gvde"/>
              <w:jc w:val="center"/>
            </w:pPr>
            <w:r>
              <w:rPr>
                <w:rFonts w:eastAsia="Calibri" w:hAnsi="Calibri" w:cs="Calibri"/>
                <w:lang w:val="en-US"/>
              </w:rPr>
              <w:t>(2.70-9.00)</w:t>
            </w:r>
          </w:p>
        </w:tc>
        <w:tc>
          <w:tcPr>
            <w:tcW w:w="1100"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s>
              <w:jc w:val="center"/>
            </w:pPr>
            <w:r>
              <w:rPr>
                <w:rFonts w:eastAsia="Calibri" w:hAnsi="Calibri" w:cs="Calibri"/>
                <w:lang w:val="en-US"/>
              </w:rPr>
              <w:t>30</w:t>
            </w:r>
          </w:p>
        </w:tc>
        <w:tc>
          <w:tcPr>
            <w:tcW w:w="1322"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jc w:val="center"/>
            </w:pPr>
            <w:r>
              <w:rPr>
                <w:rFonts w:eastAsia="Calibri" w:hAnsi="Calibri" w:cs="Calibri"/>
                <w:lang w:val="en-US"/>
              </w:rPr>
              <w:t>8</w:t>
            </w:r>
          </w:p>
        </w:tc>
        <w:tc>
          <w:tcPr>
            <w:tcW w:w="1077"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s>
              <w:jc w:val="center"/>
            </w:pPr>
            <w:r>
              <w:rPr>
                <w:rFonts w:eastAsia="Calibri" w:hAnsi="Calibri" w:cs="Calibri"/>
                <w:lang w:val="en-US"/>
              </w:rPr>
              <w:t>25.8</w:t>
            </w:r>
          </w:p>
        </w:tc>
        <w:tc>
          <w:tcPr>
            <w:tcW w:w="1121" w:type="dxa"/>
            <w:vMerge/>
            <w:tcBorders>
              <w:top w:val="nil"/>
              <w:left w:val="nil"/>
              <w:bottom w:val="single" w:sz="4" w:space="0" w:color="5B9BD5"/>
              <w:right w:val="nil"/>
            </w:tcBorders>
            <w:shd w:val="clear" w:color="auto" w:fill="auto"/>
          </w:tcPr>
          <w:p w:rsidR="004F69F8" w:rsidRDefault="004F69F8"/>
        </w:tc>
      </w:tr>
      <w:tr w:rsidR="004F69F8">
        <w:trPr>
          <w:trHeight w:val="595"/>
        </w:trPr>
        <w:tc>
          <w:tcPr>
            <w:tcW w:w="2195" w:type="dxa"/>
            <w:tcBorders>
              <w:top w:val="nil"/>
              <w:left w:val="nil"/>
              <w:bottom w:val="single" w:sz="4" w:space="0" w:color="5B9BD5"/>
              <w:right w:val="nil"/>
            </w:tcBorders>
            <w:shd w:val="clear" w:color="auto" w:fill="DEEAF6"/>
            <w:tcMar>
              <w:top w:w="80" w:type="dxa"/>
              <w:left w:w="80" w:type="dxa"/>
              <w:bottom w:w="80" w:type="dxa"/>
              <w:right w:w="80" w:type="dxa"/>
            </w:tcMar>
          </w:tcPr>
          <w:p w:rsidR="004F69F8" w:rsidRDefault="000D5DB9">
            <w:pPr>
              <w:pStyle w:val="Gvde"/>
            </w:pPr>
            <w:r>
              <w:rPr>
                <w:rFonts w:eastAsia="Calibri" w:hAnsi="Calibri" w:cs="Calibri"/>
                <w:lang w:val="en-US"/>
              </w:rPr>
              <w:t>LACI</w:t>
            </w:r>
            <w:r>
              <w:rPr>
                <w:rFonts w:eastAsia="Calibri" w:hAnsi="Calibri" w:cs="Calibri"/>
                <w:vertAlign w:val="superscript"/>
                <w:lang w:val="en-US"/>
              </w:rPr>
              <w:t>4</w:t>
            </w:r>
          </w:p>
        </w:tc>
        <w:tc>
          <w:tcPr>
            <w:tcW w:w="2256" w:type="dxa"/>
            <w:gridSpan w:val="2"/>
            <w:tcBorders>
              <w:top w:val="nil"/>
              <w:left w:val="nil"/>
              <w:bottom w:val="single" w:sz="4" w:space="0" w:color="5B9BD5"/>
              <w:right w:val="nil"/>
            </w:tcBorders>
            <w:shd w:val="clear" w:color="auto" w:fill="DEEAF6"/>
            <w:tcMar>
              <w:top w:w="80" w:type="dxa"/>
              <w:left w:w="80" w:type="dxa"/>
              <w:bottom w:w="80" w:type="dxa"/>
              <w:right w:w="80" w:type="dxa"/>
            </w:tcMar>
          </w:tcPr>
          <w:p w:rsidR="004F69F8" w:rsidRDefault="000D5DB9">
            <w:pPr>
              <w:pStyle w:val="Gvde"/>
              <w:jc w:val="center"/>
              <w:rPr>
                <w:rFonts w:eastAsia="Times New Roman" w:hAnsi="Times New Roman" w:cs="Times New Roman"/>
                <w:lang w:val="en-US"/>
              </w:rPr>
            </w:pPr>
            <w:r>
              <w:rPr>
                <w:rFonts w:eastAsia="Calibri" w:hAnsi="Calibri" w:cs="Calibri"/>
                <w:lang w:val="en-US"/>
              </w:rPr>
              <w:t>6.00</w:t>
            </w:r>
            <w:r>
              <w:rPr>
                <w:rFonts w:ascii="Calibri" w:eastAsia="Calibri" w:hAnsi="Times New Roman" w:cs="Calibri"/>
                <w:lang w:val="en-US"/>
              </w:rPr>
              <w:t>±</w:t>
            </w:r>
            <w:r>
              <w:rPr>
                <w:rFonts w:eastAsia="Calibri" w:hAnsi="Calibri" w:cs="Calibri"/>
                <w:lang w:val="en-US"/>
              </w:rPr>
              <w:t>1.80</w:t>
            </w:r>
          </w:p>
          <w:p w:rsidR="004F69F8" w:rsidRDefault="000D5DB9">
            <w:pPr>
              <w:pStyle w:val="Gvde"/>
              <w:jc w:val="center"/>
            </w:pPr>
            <w:r>
              <w:rPr>
                <w:rFonts w:eastAsia="Calibri" w:hAnsi="Calibri" w:cs="Calibri"/>
                <w:lang w:val="en-US"/>
              </w:rPr>
              <w:t>(0.80-9.40)</w:t>
            </w:r>
          </w:p>
        </w:tc>
        <w:tc>
          <w:tcPr>
            <w:tcW w:w="1100" w:type="dxa"/>
            <w:tcBorders>
              <w:top w:val="nil"/>
              <w:left w:val="nil"/>
              <w:bottom w:val="single" w:sz="4" w:space="0" w:color="5B9BD5"/>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s>
              <w:jc w:val="center"/>
            </w:pPr>
            <w:r>
              <w:rPr>
                <w:rFonts w:eastAsia="Calibri" w:hAnsi="Calibri" w:cs="Calibri"/>
                <w:lang w:val="en-US"/>
              </w:rPr>
              <w:t>23</w:t>
            </w:r>
          </w:p>
        </w:tc>
        <w:tc>
          <w:tcPr>
            <w:tcW w:w="1322" w:type="dxa"/>
            <w:tcBorders>
              <w:top w:val="nil"/>
              <w:left w:val="nil"/>
              <w:bottom w:val="single" w:sz="4" w:space="0" w:color="5B9BD5"/>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jc w:val="center"/>
            </w:pPr>
            <w:r>
              <w:rPr>
                <w:rFonts w:eastAsia="Calibri" w:hAnsi="Calibri" w:cs="Calibri"/>
                <w:lang w:val="en-US"/>
              </w:rPr>
              <w:t>20</w:t>
            </w:r>
          </w:p>
        </w:tc>
        <w:tc>
          <w:tcPr>
            <w:tcW w:w="1077" w:type="dxa"/>
            <w:tcBorders>
              <w:top w:val="nil"/>
              <w:left w:val="nil"/>
              <w:bottom w:val="single" w:sz="4" w:space="0" w:color="5B9BD5"/>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s>
              <w:jc w:val="center"/>
            </w:pPr>
            <w:r>
              <w:rPr>
                <w:rFonts w:eastAsia="Calibri" w:hAnsi="Calibri" w:cs="Calibri"/>
                <w:lang w:val="en-US"/>
              </w:rPr>
              <w:t>46.5</w:t>
            </w:r>
          </w:p>
        </w:tc>
        <w:tc>
          <w:tcPr>
            <w:tcW w:w="1121" w:type="dxa"/>
            <w:vMerge/>
            <w:tcBorders>
              <w:top w:val="nil"/>
              <w:left w:val="nil"/>
              <w:bottom w:val="single" w:sz="4" w:space="0" w:color="5B9BD5"/>
              <w:right w:val="nil"/>
            </w:tcBorders>
            <w:shd w:val="clear" w:color="auto" w:fill="auto"/>
          </w:tcPr>
          <w:p w:rsidR="004F69F8" w:rsidRDefault="004F69F8"/>
        </w:tc>
      </w:tr>
    </w:tbl>
    <w:p w:rsidR="004F69F8" w:rsidRDefault="004F69F8">
      <w:pPr>
        <w:pStyle w:val="Gvde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jc w:val="both"/>
      </w:pPr>
    </w:p>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59" w:lineRule="auto"/>
        <w:rPr>
          <w:rFonts w:eastAsia="Calibri" w:hAnsi="Calibri" w:cs="Calibri"/>
          <w:lang w:val="en-US"/>
        </w:rPr>
      </w:pPr>
      <w:r>
        <w:rPr>
          <w:rFonts w:eastAsia="Calibri" w:hAnsi="Calibri" w:cs="Calibri"/>
          <w:vertAlign w:val="superscript"/>
        </w:rPr>
        <w:t>1</w:t>
      </w:r>
      <w:r>
        <w:rPr>
          <w:rFonts w:eastAsia="Calibri" w:hAnsi="Calibri" w:cs="Calibri"/>
          <w:lang w:val="en-US"/>
        </w:rPr>
        <w:t xml:space="preserve">TACI: Total anterior circulation infarct; </w:t>
      </w:r>
      <w:r>
        <w:rPr>
          <w:rFonts w:eastAsia="Calibri" w:hAnsi="Calibri" w:cs="Calibri"/>
          <w:vertAlign w:val="superscript"/>
        </w:rPr>
        <w:t>2</w:t>
      </w:r>
      <w:r>
        <w:rPr>
          <w:rFonts w:eastAsia="Calibri" w:hAnsi="Calibri" w:cs="Calibri"/>
          <w:lang w:val="en-US"/>
        </w:rPr>
        <w:t xml:space="preserve">PACI: Partial anterior circulation infarct; </w:t>
      </w:r>
      <w:r>
        <w:rPr>
          <w:rFonts w:eastAsia="Calibri" w:hAnsi="Calibri" w:cs="Calibri"/>
          <w:vertAlign w:val="superscript"/>
        </w:rPr>
        <w:t>3</w:t>
      </w:r>
      <w:r>
        <w:rPr>
          <w:rFonts w:eastAsia="Calibri" w:hAnsi="Calibri" w:cs="Calibri"/>
          <w:lang w:val="en-US"/>
        </w:rPr>
        <w:t xml:space="preserve">POCI: Posterior circulation infarct; </w:t>
      </w:r>
      <w:r>
        <w:rPr>
          <w:rFonts w:eastAsia="Calibri" w:hAnsi="Calibri" w:cs="Calibri"/>
          <w:vertAlign w:val="superscript"/>
        </w:rPr>
        <w:t>4</w:t>
      </w:r>
      <w:r>
        <w:rPr>
          <w:rFonts w:eastAsia="Calibri" w:hAnsi="Calibri" w:cs="Calibri"/>
          <w:lang w:val="en-US"/>
        </w:rPr>
        <w:t xml:space="preserve">LACI: </w:t>
      </w:r>
      <w:proofErr w:type="spellStart"/>
      <w:r>
        <w:rPr>
          <w:rFonts w:eastAsia="Calibri" w:hAnsi="Calibri" w:cs="Calibri"/>
          <w:lang w:val="en-US"/>
        </w:rPr>
        <w:t>Lacunary</w:t>
      </w:r>
      <w:proofErr w:type="spellEnd"/>
      <w:r>
        <w:rPr>
          <w:rFonts w:eastAsia="Calibri" w:hAnsi="Calibri" w:cs="Calibri"/>
          <w:lang w:val="en-US"/>
        </w:rPr>
        <w:t xml:space="preserve"> circulation infarct * Chi-square test</w:t>
      </w:r>
    </w:p>
    <w:p w:rsidR="001C0E6D" w:rsidRDefault="001C0E6D">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59" w:lineRule="auto"/>
        <w:rPr>
          <w:rFonts w:eastAsia="Times New Roman" w:hAnsi="Times New Roman" w:cs="Times New Roman"/>
        </w:rPr>
      </w:pPr>
    </w:p>
    <w:p w:rsidR="004F69F8" w:rsidRDefault="000D5DB9">
      <w:pPr>
        <w:pStyle w:val="Gvde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line="276" w:lineRule="auto"/>
        <w:jc w:val="both"/>
        <w:rPr>
          <w:b/>
          <w:bCs/>
          <w:color w:val="0D0D0D"/>
        </w:rPr>
      </w:pPr>
      <w:r>
        <w:rPr>
          <w:b/>
          <w:bCs/>
          <w:color w:val="0D0D0D"/>
        </w:rPr>
        <w:t xml:space="preserve">Table 3: </w:t>
      </w:r>
      <w:r>
        <w:rPr>
          <w:color w:val="0D0D0D"/>
        </w:rPr>
        <w:t>Uric acid levels related to sex in the anterior circulation</w:t>
      </w:r>
      <w:r>
        <w:rPr>
          <w:b/>
          <w:bCs/>
          <w:color w:val="0D0D0D"/>
        </w:rPr>
        <w:t xml:space="preserve"> </w:t>
      </w:r>
    </w:p>
    <w:tbl>
      <w:tblPr>
        <w:tblStyle w:val="TableNormal1"/>
        <w:tblW w:w="906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11"/>
        <w:gridCol w:w="3159"/>
        <w:gridCol w:w="1373"/>
        <w:gridCol w:w="1923"/>
      </w:tblGrid>
      <w:tr w:rsidR="004F69F8">
        <w:trPr>
          <w:trHeight w:val="300"/>
        </w:trPr>
        <w:tc>
          <w:tcPr>
            <w:tcW w:w="2610"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4F69F8"/>
        </w:tc>
        <w:tc>
          <w:tcPr>
            <w:tcW w:w="3158"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Anterior circulation</w:t>
            </w:r>
          </w:p>
        </w:tc>
        <w:tc>
          <w:tcPr>
            <w:tcW w:w="1373"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Female</w:t>
            </w:r>
          </w:p>
        </w:tc>
        <w:tc>
          <w:tcPr>
            <w:tcW w:w="1923"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jc w:val="center"/>
            </w:pPr>
            <w:r>
              <w:rPr>
                <w:rFonts w:eastAsia="Calibri" w:hAnsi="Calibri" w:cs="Calibri"/>
                <w:lang w:val="en-US"/>
              </w:rPr>
              <w:t>Male</w:t>
            </w:r>
          </w:p>
        </w:tc>
      </w:tr>
      <w:tr w:rsidR="004F69F8">
        <w:trPr>
          <w:trHeight w:val="295"/>
        </w:trPr>
        <w:tc>
          <w:tcPr>
            <w:tcW w:w="2610"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4F69F8"/>
        </w:tc>
        <w:tc>
          <w:tcPr>
            <w:tcW w:w="3158"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4F69F8"/>
        </w:tc>
        <w:tc>
          <w:tcPr>
            <w:tcW w:w="1373"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i/>
                <w:iCs/>
                <w:lang w:val="en-US"/>
              </w:rPr>
              <w:t>p</w:t>
            </w:r>
          </w:p>
        </w:tc>
        <w:tc>
          <w:tcPr>
            <w:tcW w:w="1923"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0D5DB9">
            <w:pPr>
              <w:pStyle w:val="Gvde"/>
              <w:jc w:val="center"/>
            </w:pPr>
            <w:r>
              <w:rPr>
                <w:rFonts w:eastAsia="Calibri" w:hAnsi="Calibri" w:cs="Calibri"/>
                <w:i/>
                <w:iCs/>
                <w:lang w:val="en-US"/>
              </w:rPr>
              <w:t>p</w:t>
            </w:r>
          </w:p>
        </w:tc>
      </w:tr>
      <w:tr w:rsidR="004F69F8">
        <w:trPr>
          <w:trHeight w:val="290"/>
        </w:trPr>
        <w:tc>
          <w:tcPr>
            <w:tcW w:w="2610" w:type="dxa"/>
            <w:vMerge w:val="restart"/>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proofErr w:type="spellStart"/>
            <w:r>
              <w:rPr>
                <w:rFonts w:eastAsia="Calibri" w:hAnsi="Calibri" w:cs="Calibri"/>
                <w:lang w:val="en-US"/>
              </w:rPr>
              <w:t>Extracranial</w:t>
            </w:r>
            <w:proofErr w:type="spellEnd"/>
          </w:p>
        </w:tc>
        <w:tc>
          <w:tcPr>
            <w:tcW w:w="3158"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Contour Irregularity</w:t>
            </w:r>
          </w:p>
        </w:tc>
        <w:tc>
          <w:tcPr>
            <w:tcW w:w="137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0.67</w:t>
            </w:r>
          </w:p>
        </w:tc>
        <w:tc>
          <w:tcPr>
            <w:tcW w:w="192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jc w:val="center"/>
            </w:pPr>
            <w:r>
              <w:rPr>
                <w:rFonts w:eastAsia="Calibri" w:hAnsi="Calibri" w:cs="Calibri"/>
                <w:lang w:val="en-US"/>
              </w:rPr>
              <w:t>0.93</w:t>
            </w:r>
          </w:p>
        </w:tc>
      </w:tr>
      <w:tr w:rsidR="004F69F8">
        <w:trPr>
          <w:trHeight w:val="290"/>
        </w:trPr>
        <w:tc>
          <w:tcPr>
            <w:tcW w:w="2610" w:type="dxa"/>
            <w:vMerge/>
            <w:tcBorders>
              <w:top w:val="nil"/>
              <w:left w:val="nil"/>
              <w:bottom w:val="nil"/>
              <w:right w:val="nil"/>
            </w:tcBorders>
            <w:shd w:val="clear" w:color="auto" w:fill="auto"/>
          </w:tcPr>
          <w:p w:rsidR="004F69F8" w:rsidRDefault="004F69F8"/>
        </w:tc>
        <w:tc>
          <w:tcPr>
            <w:tcW w:w="3158"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pPr>
            <w:r>
              <w:rPr>
                <w:rFonts w:eastAsia="Calibri" w:hAnsi="Calibri" w:cs="Calibri"/>
                <w:lang w:val="en-US"/>
              </w:rPr>
              <w:t>Mild  Stenosis</w:t>
            </w:r>
          </w:p>
        </w:tc>
        <w:tc>
          <w:tcPr>
            <w:tcW w:w="137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0.94</w:t>
            </w:r>
          </w:p>
        </w:tc>
        <w:tc>
          <w:tcPr>
            <w:tcW w:w="192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jc w:val="center"/>
            </w:pPr>
            <w:r>
              <w:rPr>
                <w:rFonts w:eastAsia="Calibri" w:hAnsi="Calibri" w:cs="Calibri"/>
                <w:lang w:val="en-US"/>
              </w:rPr>
              <w:t>0.35</w:t>
            </w:r>
          </w:p>
        </w:tc>
      </w:tr>
      <w:tr w:rsidR="004F69F8">
        <w:trPr>
          <w:trHeight w:val="290"/>
        </w:trPr>
        <w:tc>
          <w:tcPr>
            <w:tcW w:w="2610" w:type="dxa"/>
            <w:vMerge/>
            <w:tcBorders>
              <w:top w:val="nil"/>
              <w:left w:val="nil"/>
              <w:bottom w:val="nil"/>
              <w:right w:val="nil"/>
            </w:tcBorders>
            <w:shd w:val="clear" w:color="auto" w:fill="auto"/>
          </w:tcPr>
          <w:p w:rsidR="004F69F8" w:rsidRDefault="004F69F8"/>
        </w:tc>
        <w:tc>
          <w:tcPr>
            <w:tcW w:w="3158"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Moderate  Stenosis</w:t>
            </w:r>
          </w:p>
        </w:tc>
        <w:tc>
          <w:tcPr>
            <w:tcW w:w="137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0.77</w:t>
            </w:r>
          </w:p>
        </w:tc>
        <w:tc>
          <w:tcPr>
            <w:tcW w:w="192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jc w:val="center"/>
            </w:pPr>
            <w:r>
              <w:rPr>
                <w:rFonts w:eastAsia="Calibri" w:hAnsi="Calibri" w:cs="Calibri"/>
                <w:lang w:val="en-US"/>
              </w:rPr>
              <w:t>0.19</w:t>
            </w:r>
          </w:p>
        </w:tc>
      </w:tr>
      <w:tr w:rsidR="004F69F8">
        <w:trPr>
          <w:trHeight w:val="290"/>
        </w:trPr>
        <w:tc>
          <w:tcPr>
            <w:tcW w:w="2610" w:type="dxa"/>
            <w:vMerge/>
            <w:tcBorders>
              <w:top w:val="nil"/>
              <w:left w:val="nil"/>
              <w:bottom w:val="nil"/>
              <w:right w:val="nil"/>
            </w:tcBorders>
            <w:shd w:val="clear" w:color="auto" w:fill="auto"/>
          </w:tcPr>
          <w:p w:rsidR="004F69F8" w:rsidRDefault="004F69F8"/>
        </w:tc>
        <w:tc>
          <w:tcPr>
            <w:tcW w:w="3158"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pPr>
            <w:r>
              <w:rPr>
                <w:rFonts w:eastAsia="Calibri" w:hAnsi="Calibri" w:cs="Calibri"/>
                <w:lang w:val="en-US"/>
              </w:rPr>
              <w:t>Severe  Stenosis</w:t>
            </w:r>
          </w:p>
        </w:tc>
        <w:tc>
          <w:tcPr>
            <w:tcW w:w="137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0.28</w:t>
            </w:r>
          </w:p>
        </w:tc>
        <w:tc>
          <w:tcPr>
            <w:tcW w:w="192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jc w:val="center"/>
            </w:pPr>
            <w:r>
              <w:rPr>
                <w:rFonts w:eastAsia="Calibri" w:hAnsi="Calibri" w:cs="Calibri"/>
                <w:lang w:val="en-US"/>
              </w:rPr>
              <w:t>0.88</w:t>
            </w:r>
          </w:p>
        </w:tc>
      </w:tr>
      <w:tr w:rsidR="004F69F8">
        <w:trPr>
          <w:trHeight w:val="290"/>
        </w:trPr>
        <w:tc>
          <w:tcPr>
            <w:tcW w:w="2610" w:type="dxa"/>
            <w:vMerge/>
            <w:tcBorders>
              <w:top w:val="nil"/>
              <w:left w:val="nil"/>
              <w:bottom w:val="nil"/>
              <w:right w:val="nil"/>
            </w:tcBorders>
            <w:shd w:val="clear" w:color="auto" w:fill="auto"/>
          </w:tcPr>
          <w:p w:rsidR="004F69F8" w:rsidRDefault="004F69F8"/>
        </w:tc>
        <w:tc>
          <w:tcPr>
            <w:tcW w:w="3158"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 xml:space="preserve">Total </w:t>
            </w:r>
          </w:p>
        </w:tc>
        <w:tc>
          <w:tcPr>
            <w:tcW w:w="137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0.88</w:t>
            </w:r>
          </w:p>
        </w:tc>
        <w:tc>
          <w:tcPr>
            <w:tcW w:w="192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jc w:val="center"/>
            </w:pPr>
            <w:r>
              <w:rPr>
                <w:rFonts w:eastAsia="Calibri" w:hAnsi="Calibri" w:cs="Calibri"/>
                <w:lang w:val="en-US"/>
              </w:rPr>
              <w:t>0.51</w:t>
            </w:r>
          </w:p>
        </w:tc>
      </w:tr>
      <w:tr w:rsidR="004F69F8">
        <w:trPr>
          <w:trHeight w:val="290"/>
        </w:trPr>
        <w:tc>
          <w:tcPr>
            <w:tcW w:w="2610" w:type="dxa"/>
            <w:vMerge w:val="restart"/>
            <w:tcBorders>
              <w:top w:val="nil"/>
              <w:left w:val="nil"/>
              <w:bottom w:val="single" w:sz="4" w:space="0" w:color="5B9BD5"/>
              <w:right w:val="nil"/>
            </w:tcBorders>
            <w:shd w:val="clear" w:color="auto" w:fill="DEEAF6"/>
            <w:tcMar>
              <w:top w:w="80" w:type="dxa"/>
              <w:left w:w="80" w:type="dxa"/>
              <w:bottom w:w="80" w:type="dxa"/>
              <w:right w:w="80" w:type="dxa"/>
            </w:tcMar>
          </w:tcPr>
          <w:p w:rsidR="004F69F8" w:rsidRDefault="000D5DB9">
            <w:pPr>
              <w:pStyle w:val="Gvde"/>
            </w:pPr>
            <w:r>
              <w:rPr>
                <w:rFonts w:eastAsia="Calibri" w:hAnsi="Calibri" w:cs="Calibri"/>
                <w:lang w:val="en-US"/>
              </w:rPr>
              <w:t>Intracranial</w:t>
            </w:r>
          </w:p>
        </w:tc>
        <w:tc>
          <w:tcPr>
            <w:tcW w:w="3158"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pPr>
            <w:r>
              <w:rPr>
                <w:rFonts w:eastAsia="Calibri" w:hAnsi="Calibri" w:cs="Calibri"/>
                <w:lang w:val="en-US"/>
              </w:rPr>
              <w:t>Contour Irregularity</w:t>
            </w:r>
          </w:p>
        </w:tc>
        <w:tc>
          <w:tcPr>
            <w:tcW w:w="137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0.84</w:t>
            </w:r>
          </w:p>
        </w:tc>
        <w:tc>
          <w:tcPr>
            <w:tcW w:w="192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jc w:val="center"/>
            </w:pPr>
            <w:r>
              <w:rPr>
                <w:rFonts w:eastAsia="Calibri" w:hAnsi="Calibri" w:cs="Calibri"/>
                <w:lang w:val="en-US"/>
              </w:rPr>
              <w:t>0.88</w:t>
            </w:r>
          </w:p>
        </w:tc>
      </w:tr>
      <w:tr w:rsidR="004F69F8">
        <w:trPr>
          <w:trHeight w:val="290"/>
        </w:trPr>
        <w:tc>
          <w:tcPr>
            <w:tcW w:w="2610" w:type="dxa"/>
            <w:vMerge/>
            <w:tcBorders>
              <w:top w:val="nil"/>
              <w:left w:val="nil"/>
              <w:bottom w:val="single" w:sz="4" w:space="0" w:color="5B9BD5"/>
              <w:right w:val="nil"/>
            </w:tcBorders>
            <w:shd w:val="clear" w:color="auto" w:fill="DEEAF6"/>
          </w:tcPr>
          <w:p w:rsidR="004F69F8" w:rsidRDefault="004F69F8"/>
        </w:tc>
        <w:tc>
          <w:tcPr>
            <w:tcW w:w="3158"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Mild  Stenosis</w:t>
            </w:r>
          </w:p>
        </w:tc>
        <w:tc>
          <w:tcPr>
            <w:tcW w:w="137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0.60</w:t>
            </w:r>
          </w:p>
        </w:tc>
        <w:tc>
          <w:tcPr>
            <w:tcW w:w="192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jc w:val="center"/>
            </w:pPr>
            <w:r>
              <w:rPr>
                <w:rFonts w:eastAsia="Calibri" w:hAnsi="Calibri" w:cs="Calibri"/>
                <w:lang w:val="en-US"/>
              </w:rPr>
              <w:t>0.21</w:t>
            </w:r>
          </w:p>
        </w:tc>
      </w:tr>
      <w:tr w:rsidR="004F69F8">
        <w:trPr>
          <w:trHeight w:val="290"/>
        </w:trPr>
        <w:tc>
          <w:tcPr>
            <w:tcW w:w="2610" w:type="dxa"/>
            <w:vMerge/>
            <w:tcBorders>
              <w:top w:val="nil"/>
              <w:left w:val="nil"/>
              <w:bottom w:val="single" w:sz="4" w:space="0" w:color="5B9BD5"/>
              <w:right w:val="nil"/>
            </w:tcBorders>
            <w:shd w:val="clear" w:color="auto" w:fill="DEEAF6"/>
          </w:tcPr>
          <w:p w:rsidR="004F69F8" w:rsidRDefault="004F69F8"/>
        </w:tc>
        <w:tc>
          <w:tcPr>
            <w:tcW w:w="3158"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pPr>
            <w:r>
              <w:rPr>
                <w:rFonts w:eastAsia="Calibri" w:hAnsi="Calibri" w:cs="Calibri"/>
                <w:lang w:val="en-US"/>
              </w:rPr>
              <w:t>Moderate  Stenosis</w:t>
            </w:r>
          </w:p>
        </w:tc>
        <w:tc>
          <w:tcPr>
            <w:tcW w:w="137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0.12</w:t>
            </w:r>
          </w:p>
        </w:tc>
        <w:tc>
          <w:tcPr>
            <w:tcW w:w="192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jc w:val="center"/>
            </w:pPr>
            <w:r>
              <w:rPr>
                <w:rFonts w:eastAsia="Calibri" w:hAnsi="Calibri" w:cs="Calibri"/>
                <w:lang w:val="en-US"/>
              </w:rPr>
              <w:t>0.82</w:t>
            </w:r>
          </w:p>
        </w:tc>
      </w:tr>
      <w:tr w:rsidR="004F69F8">
        <w:trPr>
          <w:trHeight w:val="290"/>
        </w:trPr>
        <w:tc>
          <w:tcPr>
            <w:tcW w:w="2610" w:type="dxa"/>
            <w:vMerge/>
            <w:tcBorders>
              <w:top w:val="nil"/>
              <w:left w:val="nil"/>
              <w:bottom w:val="single" w:sz="4" w:space="0" w:color="5B9BD5"/>
              <w:right w:val="nil"/>
            </w:tcBorders>
            <w:shd w:val="clear" w:color="auto" w:fill="DEEAF6"/>
          </w:tcPr>
          <w:p w:rsidR="004F69F8" w:rsidRDefault="004F69F8"/>
        </w:tc>
        <w:tc>
          <w:tcPr>
            <w:tcW w:w="3158"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Severe  Stenosis</w:t>
            </w:r>
          </w:p>
        </w:tc>
        <w:tc>
          <w:tcPr>
            <w:tcW w:w="137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0.76</w:t>
            </w:r>
          </w:p>
        </w:tc>
        <w:tc>
          <w:tcPr>
            <w:tcW w:w="192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jc w:val="center"/>
            </w:pPr>
            <w:r>
              <w:rPr>
                <w:rFonts w:eastAsia="Calibri" w:hAnsi="Calibri" w:cs="Calibri"/>
                <w:lang w:val="en-US"/>
              </w:rPr>
              <w:t>0.24</w:t>
            </w:r>
          </w:p>
        </w:tc>
      </w:tr>
      <w:tr w:rsidR="004F69F8">
        <w:trPr>
          <w:trHeight w:val="295"/>
        </w:trPr>
        <w:tc>
          <w:tcPr>
            <w:tcW w:w="2610" w:type="dxa"/>
            <w:vMerge/>
            <w:tcBorders>
              <w:top w:val="nil"/>
              <w:left w:val="nil"/>
              <w:bottom w:val="single" w:sz="4" w:space="0" w:color="5B9BD5"/>
              <w:right w:val="nil"/>
            </w:tcBorders>
            <w:shd w:val="clear" w:color="auto" w:fill="DEEAF6"/>
          </w:tcPr>
          <w:p w:rsidR="004F69F8" w:rsidRDefault="004F69F8"/>
        </w:tc>
        <w:tc>
          <w:tcPr>
            <w:tcW w:w="3158" w:type="dxa"/>
            <w:tcBorders>
              <w:top w:val="nil"/>
              <w:left w:val="nil"/>
              <w:bottom w:val="single" w:sz="4" w:space="0" w:color="5B9BD5"/>
              <w:right w:val="nil"/>
            </w:tcBorders>
            <w:shd w:val="clear" w:color="auto" w:fill="DEEAF6"/>
            <w:tcMar>
              <w:top w:w="80" w:type="dxa"/>
              <w:left w:w="80" w:type="dxa"/>
              <w:bottom w:w="80" w:type="dxa"/>
              <w:right w:w="80" w:type="dxa"/>
            </w:tcMar>
          </w:tcPr>
          <w:p w:rsidR="004F69F8" w:rsidRDefault="000D5DB9">
            <w:pPr>
              <w:pStyle w:val="Gvde"/>
            </w:pPr>
            <w:r>
              <w:rPr>
                <w:rFonts w:eastAsia="Calibri" w:hAnsi="Calibri" w:cs="Calibri"/>
                <w:lang w:val="en-US"/>
              </w:rPr>
              <w:t xml:space="preserve">Total </w:t>
            </w:r>
          </w:p>
        </w:tc>
        <w:tc>
          <w:tcPr>
            <w:tcW w:w="1373" w:type="dxa"/>
            <w:tcBorders>
              <w:top w:val="nil"/>
              <w:left w:val="nil"/>
              <w:bottom w:val="single" w:sz="4" w:space="0" w:color="5B9BD5"/>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0.13</w:t>
            </w:r>
          </w:p>
        </w:tc>
        <w:tc>
          <w:tcPr>
            <w:tcW w:w="1923" w:type="dxa"/>
            <w:tcBorders>
              <w:top w:val="nil"/>
              <w:left w:val="nil"/>
              <w:bottom w:val="single" w:sz="4" w:space="0" w:color="5B9BD5"/>
              <w:right w:val="nil"/>
            </w:tcBorders>
            <w:shd w:val="clear" w:color="auto" w:fill="DEEAF6"/>
            <w:tcMar>
              <w:top w:w="80" w:type="dxa"/>
              <w:left w:w="80" w:type="dxa"/>
              <w:bottom w:w="80" w:type="dxa"/>
              <w:right w:w="80" w:type="dxa"/>
            </w:tcMar>
          </w:tcPr>
          <w:p w:rsidR="004F69F8" w:rsidRDefault="000D5DB9">
            <w:pPr>
              <w:pStyle w:val="Gvde"/>
              <w:jc w:val="center"/>
            </w:pPr>
            <w:r>
              <w:rPr>
                <w:rFonts w:eastAsia="Calibri" w:hAnsi="Calibri" w:cs="Calibri"/>
                <w:lang w:val="en-US"/>
              </w:rPr>
              <w:t>0.49</w:t>
            </w:r>
          </w:p>
        </w:tc>
      </w:tr>
    </w:tbl>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59" w:lineRule="auto"/>
        <w:rPr>
          <w:rFonts w:eastAsia="Calibri" w:hAnsi="Calibri" w:cs="Calibri"/>
        </w:rPr>
      </w:pPr>
      <w:r>
        <w:rPr>
          <w:rFonts w:eastAsia="Calibri" w:hAnsi="Calibri" w:cs="Calibri"/>
        </w:rPr>
        <w:t>*T-test</w:t>
      </w:r>
    </w:p>
    <w:p w:rsidR="001C0E6D" w:rsidRDefault="001C0E6D">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59" w:lineRule="auto"/>
        <w:rPr>
          <w:rFonts w:eastAsia="Times New Roman" w:hAnsi="Times New Roman" w:cs="Times New Roman"/>
        </w:rPr>
      </w:pPr>
    </w:p>
    <w:p w:rsidR="004F69F8" w:rsidRDefault="000D5DB9">
      <w:pPr>
        <w:pStyle w:val="Gvde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line="276" w:lineRule="auto"/>
        <w:jc w:val="both"/>
        <w:rPr>
          <w:color w:val="0D0D0D"/>
        </w:rPr>
      </w:pPr>
      <w:r>
        <w:rPr>
          <w:b/>
          <w:bCs/>
          <w:color w:val="0D0D0D"/>
        </w:rPr>
        <w:t>Table 4:</w:t>
      </w:r>
      <w:r>
        <w:rPr>
          <w:color w:val="0D0D0D"/>
        </w:rPr>
        <w:t xml:space="preserve"> Uric acid levels related to sex in the posterior circulation </w:t>
      </w:r>
    </w:p>
    <w:tbl>
      <w:tblPr>
        <w:tblStyle w:val="TableNormal1"/>
        <w:tblW w:w="906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11"/>
        <w:gridCol w:w="3159"/>
        <w:gridCol w:w="1373"/>
        <w:gridCol w:w="1923"/>
      </w:tblGrid>
      <w:tr w:rsidR="004F69F8">
        <w:trPr>
          <w:trHeight w:val="300"/>
        </w:trPr>
        <w:tc>
          <w:tcPr>
            <w:tcW w:w="2610"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4F69F8"/>
        </w:tc>
        <w:tc>
          <w:tcPr>
            <w:tcW w:w="3158"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Posterior circulation</w:t>
            </w:r>
          </w:p>
        </w:tc>
        <w:tc>
          <w:tcPr>
            <w:tcW w:w="1373"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Female</w:t>
            </w:r>
          </w:p>
        </w:tc>
        <w:tc>
          <w:tcPr>
            <w:tcW w:w="1923"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jc w:val="center"/>
            </w:pPr>
            <w:r>
              <w:rPr>
                <w:rFonts w:eastAsia="Calibri" w:hAnsi="Calibri" w:cs="Calibri"/>
                <w:lang w:val="en-US"/>
              </w:rPr>
              <w:t>Male</w:t>
            </w:r>
          </w:p>
        </w:tc>
      </w:tr>
      <w:tr w:rsidR="004F69F8">
        <w:trPr>
          <w:trHeight w:val="295"/>
        </w:trPr>
        <w:tc>
          <w:tcPr>
            <w:tcW w:w="2610"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4F69F8"/>
        </w:tc>
        <w:tc>
          <w:tcPr>
            <w:tcW w:w="3158"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4F69F8"/>
        </w:tc>
        <w:tc>
          <w:tcPr>
            <w:tcW w:w="1373"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i/>
                <w:iCs/>
                <w:lang w:val="en-US"/>
              </w:rPr>
              <w:t>p</w:t>
            </w:r>
          </w:p>
        </w:tc>
        <w:tc>
          <w:tcPr>
            <w:tcW w:w="1923"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0D5DB9">
            <w:pPr>
              <w:pStyle w:val="Gvde"/>
              <w:jc w:val="center"/>
            </w:pPr>
            <w:r>
              <w:rPr>
                <w:rFonts w:eastAsia="Calibri" w:hAnsi="Calibri" w:cs="Calibri"/>
                <w:i/>
                <w:iCs/>
                <w:lang w:val="en-US"/>
              </w:rPr>
              <w:t>p</w:t>
            </w:r>
          </w:p>
        </w:tc>
      </w:tr>
      <w:tr w:rsidR="004F69F8">
        <w:trPr>
          <w:trHeight w:val="290"/>
        </w:trPr>
        <w:tc>
          <w:tcPr>
            <w:tcW w:w="2610" w:type="dxa"/>
            <w:vMerge w:val="restart"/>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proofErr w:type="spellStart"/>
            <w:r>
              <w:rPr>
                <w:rFonts w:eastAsia="Calibri" w:hAnsi="Calibri" w:cs="Calibri"/>
                <w:lang w:val="en-US"/>
              </w:rPr>
              <w:t>Extracranial</w:t>
            </w:r>
            <w:proofErr w:type="spellEnd"/>
          </w:p>
        </w:tc>
        <w:tc>
          <w:tcPr>
            <w:tcW w:w="3158"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Contour Irregularity</w:t>
            </w:r>
          </w:p>
        </w:tc>
        <w:tc>
          <w:tcPr>
            <w:tcW w:w="137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0.54</w:t>
            </w:r>
          </w:p>
        </w:tc>
        <w:tc>
          <w:tcPr>
            <w:tcW w:w="192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jc w:val="center"/>
            </w:pPr>
            <w:r>
              <w:rPr>
                <w:rFonts w:eastAsia="Calibri" w:hAnsi="Calibri" w:cs="Calibri"/>
                <w:lang w:val="en-US"/>
              </w:rPr>
              <w:t>0.90</w:t>
            </w:r>
          </w:p>
        </w:tc>
      </w:tr>
      <w:tr w:rsidR="004F69F8">
        <w:trPr>
          <w:trHeight w:val="290"/>
        </w:trPr>
        <w:tc>
          <w:tcPr>
            <w:tcW w:w="2610" w:type="dxa"/>
            <w:vMerge/>
            <w:tcBorders>
              <w:top w:val="nil"/>
              <w:left w:val="nil"/>
              <w:bottom w:val="nil"/>
              <w:right w:val="nil"/>
            </w:tcBorders>
            <w:shd w:val="clear" w:color="auto" w:fill="auto"/>
          </w:tcPr>
          <w:p w:rsidR="004F69F8" w:rsidRDefault="004F69F8"/>
        </w:tc>
        <w:tc>
          <w:tcPr>
            <w:tcW w:w="3158"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pPr>
            <w:r>
              <w:rPr>
                <w:rFonts w:eastAsia="Calibri" w:hAnsi="Calibri" w:cs="Calibri"/>
                <w:lang w:val="en-US"/>
              </w:rPr>
              <w:t>Mild  Stenosis</w:t>
            </w:r>
          </w:p>
        </w:tc>
        <w:tc>
          <w:tcPr>
            <w:tcW w:w="137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0.54</w:t>
            </w:r>
          </w:p>
        </w:tc>
        <w:tc>
          <w:tcPr>
            <w:tcW w:w="192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jc w:val="center"/>
            </w:pPr>
            <w:r>
              <w:rPr>
                <w:rFonts w:eastAsia="Calibri" w:hAnsi="Calibri" w:cs="Calibri"/>
                <w:lang w:val="en-US"/>
              </w:rPr>
              <w:t>0.35</w:t>
            </w:r>
          </w:p>
        </w:tc>
      </w:tr>
      <w:tr w:rsidR="004F69F8">
        <w:trPr>
          <w:trHeight w:val="290"/>
        </w:trPr>
        <w:tc>
          <w:tcPr>
            <w:tcW w:w="2610" w:type="dxa"/>
            <w:vMerge/>
            <w:tcBorders>
              <w:top w:val="nil"/>
              <w:left w:val="nil"/>
              <w:bottom w:val="nil"/>
              <w:right w:val="nil"/>
            </w:tcBorders>
            <w:shd w:val="clear" w:color="auto" w:fill="auto"/>
          </w:tcPr>
          <w:p w:rsidR="004F69F8" w:rsidRDefault="004F69F8"/>
        </w:tc>
        <w:tc>
          <w:tcPr>
            <w:tcW w:w="3158"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Moderate  Stenosis</w:t>
            </w:r>
          </w:p>
        </w:tc>
        <w:tc>
          <w:tcPr>
            <w:tcW w:w="137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0.01*</w:t>
            </w:r>
          </w:p>
        </w:tc>
        <w:tc>
          <w:tcPr>
            <w:tcW w:w="192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jc w:val="center"/>
            </w:pPr>
            <w:r>
              <w:rPr>
                <w:rFonts w:eastAsia="Calibri" w:hAnsi="Calibri" w:cs="Calibri"/>
                <w:lang w:val="en-US"/>
              </w:rPr>
              <w:t>0.27</w:t>
            </w:r>
          </w:p>
        </w:tc>
      </w:tr>
      <w:tr w:rsidR="004F69F8">
        <w:trPr>
          <w:trHeight w:val="290"/>
        </w:trPr>
        <w:tc>
          <w:tcPr>
            <w:tcW w:w="2610" w:type="dxa"/>
            <w:vMerge/>
            <w:tcBorders>
              <w:top w:val="nil"/>
              <w:left w:val="nil"/>
              <w:bottom w:val="nil"/>
              <w:right w:val="nil"/>
            </w:tcBorders>
            <w:shd w:val="clear" w:color="auto" w:fill="auto"/>
          </w:tcPr>
          <w:p w:rsidR="004F69F8" w:rsidRDefault="004F69F8"/>
        </w:tc>
        <w:tc>
          <w:tcPr>
            <w:tcW w:w="3158"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pPr>
            <w:r>
              <w:rPr>
                <w:rFonts w:eastAsia="Calibri" w:hAnsi="Calibri" w:cs="Calibri"/>
                <w:lang w:val="en-US"/>
              </w:rPr>
              <w:t>Severe  Stenosis</w:t>
            </w:r>
          </w:p>
        </w:tc>
        <w:tc>
          <w:tcPr>
            <w:tcW w:w="137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0.01*</w:t>
            </w:r>
          </w:p>
        </w:tc>
        <w:tc>
          <w:tcPr>
            <w:tcW w:w="192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jc w:val="center"/>
            </w:pPr>
            <w:r>
              <w:rPr>
                <w:rFonts w:eastAsia="Calibri" w:hAnsi="Calibri" w:cs="Calibri"/>
                <w:lang w:val="en-US"/>
              </w:rPr>
              <w:t>0.07</w:t>
            </w:r>
          </w:p>
        </w:tc>
      </w:tr>
      <w:tr w:rsidR="004F69F8">
        <w:trPr>
          <w:trHeight w:val="290"/>
        </w:trPr>
        <w:tc>
          <w:tcPr>
            <w:tcW w:w="2610" w:type="dxa"/>
            <w:vMerge/>
            <w:tcBorders>
              <w:top w:val="nil"/>
              <w:left w:val="nil"/>
              <w:bottom w:val="nil"/>
              <w:right w:val="nil"/>
            </w:tcBorders>
            <w:shd w:val="clear" w:color="auto" w:fill="auto"/>
          </w:tcPr>
          <w:p w:rsidR="004F69F8" w:rsidRDefault="004F69F8"/>
        </w:tc>
        <w:tc>
          <w:tcPr>
            <w:tcW w:w="3158"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 xml:space="preserve">Total </w:t>
            </w:r>
          </w:p>
        </w:tc>
        <w:tc>
          <w:tcPr>
            <w:tcW w:w="137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0.01*</w:t>
            </w:r>
          </w:p>
        </w:tc>
        <w:tc>
          <w:tcPr>
            <w:tcW w:w="192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jc w:val="center"/>
            </w:pPr>
            <w:r>
              <w:rPr>
                <w:rFonts w:eastAsia="Calibri" w:hAnsi="Calibri" w:cs="Calibri"/>
                <w:lang w:val="en-US"/>
              </w:rPr>
              <w:t>0.05</w:t>
            </w:r>
          </w:p>
        </w:tc>
      </w:tr>
      <w:tr w:rsidR="004F69F8">
        <w:trPr>
          <w:trHeight w:val="290"/>
        </w:trPr>
        <w:tc>
          <w:tcPr>
            <w:tcW w:w="2610" w:type="dxa"/>
            <w:vMerge w:val="restart"/>
            <w:tcBorders>
              <w:top w:val="nil"/>
              <w:left w:val="nil"/>
              <w:bottom w:val="single" w:sz="4" w:space="0" w:color="5B9BD5"/>
              <w:right w:val="nil"/>
            </w:tcBorders>
            <w:shd w:val="clear" w:color="auto" w:fill="DEEAF6"/>
            <w:tcMar>
              <w:top w:w="80" w:type="dxa"/>
              <w:left w:w="80" w:type="dxa"/>
              <w:bottom w:w="80" w:type="dxa"/>
              <w:right w:w="80" w:type="dxa"/>
            </w:tcMar>
          </w:tcPr>
          <w:p w:rsidR="004F69F8" w:rsidRDefault="000D5DB9">
            <w:pPr>
              <w:pStyle w:val="Gvde"/>
            </w:pPr>
            <w:r>
              <w:rPr>
                <w:rFonts w:eastAsia="Calibri" w:hAnsi="Calibri" w:cs="Calibri"/>
                <w:lang w:val="en-US"/>
              </w:rPr>
              <w:t>Intracranial</w:t>
            </w:r>
          </w:p>
        </w:tc>
        <w:tc>
          <w:tcPr>
            <w:tcW w:w="3158"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pPr>
            <w:r>
              <w:rPr>
                <w:rFonts w:eastAsia="Calibri" w:hAnsi="Calibri" w:cs="Calibri"/>
                <w:lang w:val="en-US"/>
              </w:rPr>
              <w:t>Contour Irregularity</w:t>
            </w:r>
          </w:p>
        </w:tc>
        <w:tc>
          <w:tcPr>
            <w:tcW w:w="137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0.21</w:t>
            </w:r>
          </w:p>
        </w:tc>
        <w:tc>
          <w:tcPr>
            <w:tcW w:w="192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jc w:val="center"/>
            </w:pPr>
            <w:r>
              <w:rPr>
                <w:rFonts w:eastAsia="Calibri" w:hAnsi="Calibri" w:cs="Calibri"/>
                <w:lang w:val="en-US"/>
              </w:rPr>
              <w:t>0.99</w:t>
            </w:r>
          </w:p>
        </w:tc>
      </w:tr>
      <w:tr w:rsidR="004F69F8">
        <w:trPr>
          <w:trHeight w:val="290"/>
        </w:trPr>
        <w:tc>
          <w:tcPr>
            <w:tcW w:w="2610" w:type="dxa"/>
            <w:vMerge/>
            <w:tcBorders>
              <w:top w:val="nil"/>
              <w:left w:val="nil"/>
              <w:bottom w:val="single" w:sz="4" w:space="0" w:color="5B9BD5"/>
              <w:right w:val="nil"/>
            </w:tcBorders>
            <w:shd w:val="clear" w:color="auto" w:fill="DEEAF6"/>
          </w:tcPr>
          <w:p w:rsidR="004F69F8" w:rsidRDefault="004F69F8"/>
        </w:tc>
        <w:tc>
          <w:tcPr>
            <w:tcW w:w="3158"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Mild  Stenosis</w:t>
            </w:r>
          </w:p>
        </w:tc>
        <w:tc>
          <w:tcPr>
            <w:tcW w:w="137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0.01*</w:t>
            </w:r>
          </w:p>
        </w:tc>
        <w:tc>
          <w:tcPr>
            <w:tcW w:w="192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jc w:val="center"/>
            </w:pPr>
            <w:r>
              <w:rPr>
                <w:rFonts w:eastAsia="Calibri" w:hAnsi="Calibri" w:cs="Calibri"/>
                <w:lang w:val="en-US"/>
              </w:rPr>
              <w:t>0.26</w:t>
            </w:r>
          </w:p>
        </w:tc>
      </w:tr>
      <w:tr w:rsidR="004F69F8">
        <w:trPr>
          <w:trHeight w:val="290"/>
        </w:trPr>
        <w:tc>
          <w:tcPr>
            <w:tcW w:w="2610" w:type="dxa"/>
            <w:vMerge/>
            <w:tcBorders>
              <w:top w:val="nil"/>
              <w:left w:val="nil"/>
              <w:bottom w:val="single" w:sz="4" w:space="0" w:color="5B9BD5"/>
              <w:right w:val="nil"/>
            </w:tcBorders>
            <w:shd w:val="clear" w:color="auto" w:fill="DEEAF6"/>
          </w:tcPr>
          <w:p w:rsidR="004F69F8" w:rsidRDefault="004F69F8"/>
        </w:tc>
        <w:tc>
          <w:tcPr>
            <w:tcW w:w="3158"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pPr>
            <w:r>
              <w:rPr>
                <w:rFonts w:eastAsia="Calibri" w:hAnsi="Calibri" w:cs="Calibri"/>
                <w:lang w:val="en-US"/>
              </w:rPr>
              <w:t>Moderate  Stenosis</w:t>
            </w:r>
          </w:p>
        </w:tc>
        <w:tc>
          <w:tcPr>
            <w:tcW w:w="137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0.34</w:t>
            </w:r>
          </w:p>
        </w:tc>
        <w:tc>
          <w:tcPr>
            <w:tcW w:w="192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jc w:val="center"/>
            </w:pPr>
            <w:r>
              <w:rPr>
                <w:rFonts w:eastAsia="Calibri" w:hAnsi="Calibri" w:cs="Calibri"/>
                <w:lang w:val="en-US"/>
              </w:rPr>
              <w:t>0.89</w:t>
            </w:r>
          </w:p>
        </w:tc>
      </w:tr>
      <w:tr w:rsidR="004F69F8">
        <w:trPr>
          <w:trHeight w:val="290"/>
        </w:trPr>
        <w:tc>
          <w:tcPr>
            <w:tcW w:w="2610" w:type="dxa"/>
            <w:vMerge/>
            <w:tcBorders>
              <w:top w:val="nil"/>
              <w:left w:val="nil"/>
              <w:bottom w:val="single" w:sz="4" w:space="0" w:color="5B9BD5"/>
              <w:right w:val="nil"/>
            </w:tcBorders>
            <w:shd w:val="clear" w:color="auto" w:fill="DEEAF6"/>
          </w:tcPr>
          <w:p w:rsidR="004F69F8" w:rsidRDefault="004F69F8"/>
        </w:tc>
        <w:tc>
          <w:tcPr>
            <w:tcW w:w="3158"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Severe  Stenosis</w:t>
            </w:r>
          </w:p>
        </w:tc>
        <w:tc>
          <w:tcPr>
            <w:tcW w:w="137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0.96</w:t>
            </w:r>
          </w:p>
        </w:tc>
        <w:tc>
          <w:tcPr>
            <w:tcW w:w="192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jc w:val="center"/>
            </w:pPr>
            <w:r>
              <w:rPr>
                <w:rFonts w:eastAsia="Calibri" w:hAnsi="Calibri" w:cs="Calibri"/>
                <w:lang w:val="en-US"/>
              </w:rPr>
              <w:t>0.98</w:t>
            </w:r>
          </w:p>
        </w:tc>
      </w:tr>
      <w:tr w:rsidR="004F69F8">
        <w:trPr>
          <w:trHeight w:val="295"/>
        </w:trPr>
        <w:tc>
          <w:tcPr>
            <w:tcW w:w="2610" w:type="dxa"/>
            <w:vMerge/>
            <w:tcBorders>
              <w:top w:val="nil"/>
              <w:left w:val="nil"/>
              <w:bottom w:val="single" w:sz="4" w:space="0" w:color="5B9BD5"/>
              <w:right w:val="nil"/>
            </w:tcBorders>
            <w:shd w:val="clear" w:color="auto" w:fill="DEEAF6"/>
          </w:tcPr>
          <w:p w:rsidR="004F69F8" w:rsidRDefault="004F69F8"/>
        </w:tc>
        <w:tc>
          <w:tcPr>
            <w:tcW w:w="3158" w:type="dxa"/>
            <w:tcBorders>
              <w:top w:val="nil"/>
              <w:left w:val="nil"/>
              <w:bottom w:val="single" w:sz="4" w:space="0" w:color="5B9BD5"/>
              <w:right w:val="nil"/>
            </w:tcBorders>
            <w:shd w:val="clear" w:color="auto" w:fill="DEEAF6"/>
            <w:tcMar>
              <w:top w:w="80" w:type="dxa"/>
              <w:left w:w="80" w:type="dxa"/>
              <w:bottom w:w="80" w:type="dxa"/>
              <w:right w:w="80" w:type="dxa"/>
            </w:tcMar>
          </w:tcPr>
          <w:p w:rsidR="004F69F8" w:rsidRDefault="000D5DB9">
            <w:pPr>
              <w:pStyle w:val="Gvde"/>
            </w:pPr>
            <w:r>
              <w:rPr>
                <w:rFonts w:eastAsia="Calibri" w:hAnsi="Calibri" w:cs="Calibri"/>
                <w:lang w:val="en-US"/>
              </w:rPr>
              <w:t xml:space="preserve">Total </w:t>
            </w:r>
          </w:p>
        </w:tc>
        <w:tc>
          <w:tcPr>
            <w:tcW w:w="1373" w:type="dxa"/>
            <w:tcBorders>
              <w:top w:val="nil"/>
              <w:left w:val="nil"/>
              <w:bottom w:val="single" w:sz="4" w:space="0" w:color="5B9BD5"/>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0.67</w:t>
            </w:r>
          </w:p>
        </w:tc>
        <w:tc>
          <w:tcPr>
            <w:tcW w:w="1923" w:type="dxa"/>
            <w:tcBorders>
              <w:top w:val="nil"/>
              <w:left w:val="nil"/>
              <w:bottom w:val="single" w:sz="4" w:space="0" w:color="5B9BD5"/>
              <w:right w:val="nil"/>
            </w:tcBorders>
            <w:shd w:val="clear" w:color="auto" w:fill="DEEAF6"/>
            <w:tcMar>
              <w:top w:w="80" w:type="dxa"/>
              <w:left w:w="80" w:type="dxa"/>
              <w:bottom w:w="80" w:type="dxa"/>
              <w:right w:w="80" w:type="dxa"/>
            </w:tcMar>
          </w:tcPr>
          <w:p w:rsidR="004F69F8" w:rsidRDefault="000D5DB9">
            <w:pPr>
              <w:pStyle w:val="Gvde"/>
              <w:jc w:val="center"/>
            </w:pPr>
            <w:r>
              <w:rPr>
                <w:rFonts w:eastAsia="Calibri" w:hAnsi="Calibri" w:cs="Calibri"/>
                <w:lang w:val="en-US"/>
              </w:rPr>
              <w:t>0.95</w:t>
            </w:r>
          </w:p>
        </w:tc>
      </w:tr>
    </w:tbl>
    <w:p w:rsidR="004F69F8" w:rsidRDefault="004F69F8">
      <w:pPr>
        <w:pStyle w:val="Gvde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jc w:val="both"/>
        <w:rPr>
          <w:color w:val="0D0D0D"/>
        </w:rPr>
      </w:pPr>
    </w:p>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59" w:lineRule="auto"/>
        <w:rPr>
          <w:rFonts w:eastAsia="Times New Roman" w:hAnsi="Times New Roman" w:cs="Times New Roman"/>
        </w:rPr>
      </w:pPr>
      <w:r>
        <w:rPr>
          <w:rFonts w:eastAsia="Calibri" w:hAnsi="Calibri" w:cs="Calibri"/>
        </w:rPr>
        <w:t>*T-test</w:t>
      </w:r>
    </w:p>
    <w:p w:rsidR="004F69F8" w:rsidRDefault="000D5DB9">
      <w:pPr>
        <w:pStyle w:val="Gvde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bCs/>
          <w:color w:val="0D0D0D"/>
        </w:rPr>
      </w:pPr>
      <w:r>
        <w:rPr>
          <w:b/>
          <w:bCs/>
          <w:color w:val="0D0D0D"/>
        </w:rPr>
        <w:t xml:space="preserve">Table 5: </w:t>
      </w:r>
      <w:r>
        <w:t>The relationship between atrial fibrillation and intracranial-</w:t>
      </w:r>
      <w:proofErr w:type="spellStart"/>
      <w:r>
        <w:t>extracranial</w:t>
      </w:r>
      <w:proofErr w:type="spellEnd"/>
      <w:r>
        <w:t xml:space="preserve"> atherosclerosis in anterior/posterior circulation</w:t>
      </w:r>
      <w:r>
        <w:rPr>
          <w:b/>
          <w:bCs/>
          <w:color w:val="0D0D0D"/>
        </w:rPr>
        <w:t xml:space="preserve"> </w:t>
      </w:r>
    </w:p>
    <w:p w:rsidR="004F69F8" w:rsidRDefault="004F69F8">
      <w:pPr>
        <w:pStyle w:val="Gvde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bCs/>
          <w:color w:val="0D0D0D"/>
        </w:rPr>
      </w:pPr>
    </w:p>
    <w:tbl>
      <w:tblPr>
        <w:tblStyle w:val="TableNormal1"/>
        <w:tblW w:w="906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11"/>
        <w:gridCol w:w="3159"/>
        <w:gridCol w:w="1373"/>
        <w:gridCol w:w="1923"/>
      </w:tblGrid>
      <w:tr w:rsidR="004F69F8">
        <w:trPr>
          <w:trHeight w:val="300"/>
        </w:trPr>
        <w:tc>
          <w:tcPr>
            <w:tcW w:w="2610"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4F69F8"/>
        </w:tc>
        <w:tc>
          <w:tcPr>
            <w:tcW w:w="3158"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4F69F8"/>
        </w:tc>
        <w:tc>
          <w:tcPr>
            <w:tcW w:w="1373"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Posterior</w:t>
            </w:r>
          </w:p>
        </w:tc>
        <w:tc>
          <w:tcPr>
            <w:tcW w:w="1923"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jc w:val="center"/>
            </w:pPr>
            <w:r>
              <w:rPr>
                <w:rFonts w:eastAsia="Calibri" w:hAnsi="Calibri" w:cs="Calibri"/>
                <w:lang w:val="en-US"/>
              </w:rPr>
              <w:t>Anterior</w:t>
            </w:r>
          </w:p>
        </w:tc>
      </w:tr>
      <w:tr w:rsidR="004F69F8">
        <w:trPr>
          <w:trHeight w:val="295"/>
        </w:trPr>
        <w:tc>
          <w:tcPr>
            <w:tcW w:w="2610"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4F69F8"/>
        </w:tc>
        <w:tc>
          <w:tcPr>
            <w:tcW w:w="3158"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4F69F8"/>
        </w:tc>
        <w:tc>
          <w:tcPr>
            <w:tcW w:w="1373"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b/>
                <w:bCs/>
                <w:i/>
                <w:iCs/>
                <w:lang w:val="en-US"/>
              </w:rPr>
              <w:t>p</w:t>
            </w:r>
          </w:p>
        </w:tc>
        <w:tc>
          <w:tcPr>
            <w:tcW w:w="1923"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0D5DB9">
            <w:pPr>
              <w:pStyle w:val="Gvde"/>
              <w:jc w:val="center"/>
            </w:pPr>
            <w:r>
              <w:rPr>
                <w:rFonts w:eastAsia="Calibri" w:hAnsi="Calibri" w:cs="Calibri"/>
                <w:b/>
                <w:bCs/>
                <w:i/>
                <w:iCs/>
                <w:lang w:val="en-US"/>
              </w:rPr>
              <w:t>p</w:t>
            </w:r>
          </w:p>
        </w:tc>
      </w:tr>
      <w:tr w:rsidR="004F69F8">
        <w:trPr>
          <w:trHeight w:val="290"/>
        </w:trPr>
        <w:tc>
          <w:tcPr>
            <w:tcW w:w="2610" w:type="dxa"/>
            <w:vMerge w:val="restart"/>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Intracranial</w:t>
            </w:r>
          </w:p>
        </w:tc>
        <w:tc>
          <w:tcPr>
            <w:tcW w:w="3158"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Contour Irregularity</w:t>
            </w:r>
          </w:p>
        </w:tc>
        <w:tc>
          <w:tcPr>
            <w:tcW w:w="137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0.58</w:t>
            </w:r>
          </w:p>
        </w:tc>
        <w:tc>
          <w:tcPr>
            <w:tcW w:w="192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jc w:val="center"/>
            </w:pPr>
            <w:r>
              <w:rPr>
                <w:rFonts w:eastAsia="Calibri" w:hAnsi="Calibri" w:cs="Calibri"/>
                <w:lang w:val="en-US"/>
              </w:rPr>
              <w:t>0.57</w:t>
            </w:r>
          </w:p>
        </w:tc>
      </w:tr>
      <w:tr w:rsidR="004F69F8">
        <w:trPr>
          <w:trHeight w:val="290"/>
        </w:trPr>
        <w:tc>
          <w:tcPr>
            <w:tcW w:w="2610" w:type="dxa"/>
            <w:vMerge/>
            <w:tcBorders>
              <w:top w:val="nil"/>
              <w:left w:val="nil"/>
              <w:bottom w:val="nil"/>
              <w:right w:val="nil"/>
            </w:tcBorders>
            <w:shd w:val="clear" w:color="auto" w:fill="auto"/>
          </w:tcPr>
          <w:p w:rsidR="004F69F8" w:rsidRDefault="004F69F8"/>
        </w:tc>
        <w:tc>
          <w:tcPr>
            <w:tcW w:w="3158"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pPr>
            <w:r>
              <w:rPr>
                <w:rFonts w:eastAsia="Calibri" w:hAnsi="Calibri" w:cs="Calibri"/>
                <w:lang w:val="en-US"/>
              </w:rPr>
              <w:t>Mild Stenosis</w:t>
            </w:r>
          </w:p>
        </w:tc>
        <w:tc>
          <w:tcPr>
            <w:tcW w:w="137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0.99</w:t>
            </w:r>
          </w:p>
        </w:tc>
        <w:tc>
          <w:tcPr>
            <w:tcW w:w="192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jc w:val="center"/>
            </w:pPr>
            <w:r>
              <w:rPr>
                <w:rFonts w:eastAsia="Calibri" w:hAnsi="Calibri" w:cs="Calibri"/>
                <w:lang w:val="en-US"/>
              </w:rPr>
              <w:t>0.82</w:t>
            </w:r>
          </w:p>
        </w:tc>
      </w:tr>
      <w:tr w:rsidR="004F69F8">
        <w:trPr>
          <w:trHeight w:val="290"/>
        </w:trPr>
        <w:tc>
          <w:tcPr>
            <w:tcW w:w="2610" w:type="dxa"/>
            <w:vMerge/>
            <w:tcBorders>
              <w:top w:val="nil"/>
              <w:left w:val="nil"/>
              <w:bottom w:val="nil"/>
              <w:right w:val="nil"/>
            </w:tcBorders>
            <w:shd w:val="clear" w:color="auto" w:fill="auto"/>
          </w:tcPr>
          <w:p w:rsidR="004F69F8" w:rsidRDefault="004F69F8"/>
        </w:tc>
        <w:tc>
          <w:tcPr>
            <w:tcW w:w="3158"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Moderate  Stenosis</w:t>
            </w:r>
          </w:p>
        </w:tc>
        <w:tc>
          <w:tcPr>
            <w:tcW w:w="137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0.57</w:t>
            </w:r>
          </w:p>
        </w:tc>
        <w:tc>
          <w:tcPr>
            <w:tcW w:w="192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jc w:val="center"/>
            </w:pPr>
            <w:r>
              <w:rPr>
                <w:rFonts w:eastAsia="Calibri" w:hAnsi="Calibri" w:cs="Calibri"/>
                <w:lang w:val="en-US"/>
              </w:rPr>
              <w:t>0.69</w:t>
            </w:r>
          </w:p>
        </w:tc>
      </w:tr>
      <w:tr w:rsidR="004F69F8">
        <w:trPr>
          <w:trHeight w:val="290"/>
        </w:trPr>
        <w:tc>
          <w:tcPr>
            <w:tcW w:w="2610" w:type="dxa"/>
            <w:vMerge/>
            <w:tcBorders>
              <w:top w:val="nil"/>
              <w:left w:val="nil"/>
              <w:bottom w:val="nil"/>
              <w:right w:val="nil"/>
            </w:tcBorders>
            <w:shd w:val="clear" w:color="auto" w:fill="auto"/>
          </w:tcPr>
          <w:p w:rsidR="004F69F8" w:rsidRDefault="004F69F8"/>
        </w:tc>
        <w:tc>
          <w:tcPr>
            <w:tcW w:w="3158"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pPr>
            <w:r>
              <w:rPr>
                <w:rFonts w:eastAsia="Calibri" w:hAnsi="Calibri" w:cs="Calibri"/>
                <w:lang w:val="en-US"/>
              </w:rPr>
              <w:t>Severe  Stenosis</w:t>
            </w:r>
          </w:p>
        </w:tc>
        <w:tc>
          <w:tcPr>
            <w:tcW w:w="137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0.37</w:t>
            </w:r>
          </w:p>
        </w:tc>
        <w:tc>
          <w:tcPr>
            <w:tcW w:w="192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jc w:val="center"/>
            </w:pPr>
            <w:r>
              <w:rPr>
                <w:rFonts w:eastAsia="Calibri" w:hAnsi="Calibri" w:cs="Calibri"/>
                <w:lang w:val="en-US"/>
              </w:rPr>
              <w:t>0.96</w:t>
            </w:r>
          </w:p>
        </w:tc>
      </w:tr>
      <w:tr w:rsidR="004F69F8">
        <w:trPr>
          <w:trHeight w:val="290"/>
        </w:trPr>
        <w:tc>
          <w:tcPr>
            <w:tcW w:w="2610" w:type="dxa"/>
            <w:vMerge/>
            <w:tcBorders>
              <w:top w:val="nil"/>
              <w:left w:val="nil"/>
              <w:bottom w:val="nil"/>
              <w:right w:val="nil"/>
            </w:tcBorders>
            <w:shd w:val="clear" w:color="auto" w:fill="auto"/>
          </w:tcPr>
          <w:p w:rsidR="004F69F8" w:rsidRDefault="004F69F8"/>
        </w:tc>
        <w:tc>
          <w:tcPr>
            <w:tcW w:w="3158"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 xml:space="preserve">Total </w:t>
            </w:r>
          </w:p>
        </w:tc>
        <w:tc>
          <w:tcPr>
            <w:tcW w:w="137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0.26</w:t>
            </w:r>
          </w:p>
        </w:tc>
        <w:tc>
          <w:tcPr>
            <w:tcW w:w="192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jc w:val="center"/>
            </w:pPr>
            <w:r>
              <w:rPr>
                <w:rFonts w:eastAsia="Calibri" w:hAnsi="Calibri" w:cs="Calibri"/>
                <w:lang w:val="en-US"/>
              </w:rPr>
              <w:t>0.48</w:t>
            </w:r>
          </w:p>
        </w:tc>
      </w:tr>
      <w:tr w:rsidR="004F69F8">
        <w:trPr>
          <w:trHeight w:val="290"/>
        </w:trPr>
        <w:tc>
          <w:tcPr>
            <w:tcW w:w="2610" w:type="dxa"/>
            <w:tcBorders>
              <w:top w:val="nil"/>
              <w:left w:val="nil"/>
              <w:bottom w:val="nil"/>
              <w:right w:val="nil"/>
            </w:tcBorders>
            <w:shd w:val="clear" w:color="auto" w:fill="DEEAF6"/>
            <w:tcMar>
              <w:top w:w="80" w:type="dxa"/>
              <w:left w:w="80" w:type="dxa"/>
              <w:bottom w:w="80" w:type="dxa"/>
              <w:right w:w="80" w:type="dxa"/>
            </w:tcMar>
          </w:tcPr>
          <w:p w:rsidR="004F69F8" w:rsidRDefault="004F69F8"/>
        </w:tc>
        <w:tc>
          <w:tcPr>
            <w:tcW w:w="3158" w:type="dxa"/>
            <w:tcBorders>
              <w:top w:val="nil"/>
              <w:left w:val="nil"/>
              <w:bottom w:val="nil"/>
              <w:right w:val="nil"/>
            </w:tcBorders>
            <w:shd w:val="clear" w:color="auto" w:fill="DEEAF6"/>
            <w:tcMar>
              <w:top w:w="80" w:type="dxa"/>
              <w:left w:w="80" w:type="dxa"/>
              <w:bottom w:w="80" w:type="dxa"/>
              <w:right w:w="80" w:type="dxa"/>
            </w:tcMar>
          </w:tcPr>
          <w:p w:rsidR="004F69F8" w:rsidRDefault="004F69F8"/>
        </w:tc>
        <w:tc>
          <w:tcPr>
            <w:tcW w:w="3296" w:type="dxa"/>
            <w:gridSpan w:val="2"/>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jc w:val="center"/>
            </w:pPr>
            <w:r>
              <w:rPr>
                <w:rFonts w:eastAsia="Calibri" w:hAnsi="Calibri" w:cs="Calibri"/>
                <w:lang w:val="en-US"/>
              </w:rPr>
              <w:t>0.37*</w:t>
            </w:r>
          </w:p>
        </w:tc>
      </w:tr>
      <w:tr w:rsidR="004F69F8">
        <w:trPr>
          <w:trHeight w:val="290"/>
        </w:trPr>
        <w:tc>
          <w:tcPr>
            <w:tcW w:w="2610" w:type="dxa"/>
            <w:vMerge w:val="restart"/>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proofErr w:type="spellStart"/>
            <w:r>
              <w:rPr>
                <w:rFonts w:eastAsia="Calibri" w:hAnsi="Calibri" w:cs="Calibri"/>
                <w:lang w:val="en-US"/>
              </w:rPr>
              <w:t>Extracranial</w:t>
            </w:r>
            <w:proofErr w:type="spellEnd"/>
          </w:p>
        </w:tc>
        <w:tc>
          <w:tcPr>
            <w:tcW w:w="3158"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Contour Irregularity</w:t>
            </w:r>
          </w:p>
        </w:tc>
        <w:tc>
          <w:tcPr>
            <w:tcW w:w="137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0.46</w:t>
            </w:r>
          </w:p>
        </w:tc>
        <w:tc>
          <w:tcPr>
            <w:tcW w:w="192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jc w:val="center"/>
            </w:pPr>
            <w:r>
              <w:rPr>
                <w:rFonts w:eastAsia="Calibri" w:hAnsi="Calibri" w:cs="Calibri"/>
                <w:lang w:val="en-US"/>
              </w:rPr>
              <w:t>0.05*</w:t>
            </w:r>
          </w:p>
        </w:tc>
      </w:tr>
      <w:tr w:rsidR="004F69F8">
        <w:trPr>
          <w:trHeight w:val="290"/>
        </w:trPr>
        <w:tc>
          <w:tcPr>
            <w:tcW w:w="2610" w:type="dxa"/>
            <w:vMerge/>
            <w:tcBorders>
              <w:top w:val="nil"/>
              <w:left w:val="nil"/>
              <w:bottom w:val="nil"/>
              <w:right w:val="nil"/>
            </w:tcBorders>
            <w:shd w:val="clear" w:color="auto" w:fill="auto"/>
          </w:tcPr>
          <w:p w:rsidR="004F69F8" w:rsidRDefault="004F69F8"/>
        </w:tc>
        <w:tc>
          <w:tcPr>
            <w:tcW w:w="3158"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pPr>
            <w:r>
              <w:rPr>
                <w:rFonts w:eastAsia="Calibri" w:hAnsi="Calibri" w:cs="Calibri"/>
                <w:lang w:val="en-US"/>
              </w:rPr>
              <w:t>Mild Stenosis</w:t>
            </w:r>
          </w:p>
        </w:tc>
        <w:tc>
          <w:tcPr>
            <w:tcW w:w="137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0.99</w:t>
            </w:r>
          </w:p>
        </w:tc>
        <w:tc>
          <w:tcPr>
            <w:tcW w:w="192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jc w:val="center"/>
            </w:pPr>
            <w:r>
              <w:rPr>
                <w:rFonts w:eastAsia="Calibri" w:hAnsi="Calibri" w:cs="Calibri"/>
                <w:lang w:val="en-US"/>
              </w:rPr>
              <w:t>0.76</w:t>
            </w:r>
          </w:p>
        </w:tc>
      </w:tr>
      <w:tr w:rsidR="004F69F8">
        <w:trPr>
          <w:trHeight w:val="290"/>
        </w:trPr>
        <w:tc>
          <w:tcPr>
            <w:tcW w:w="2610" w:type="dxa"/>
            <w:vMerge/>
            <w:tcBorders>
              <w:top w:val="nil"/>
              <w:left w:val="nil"/>
              <w:bottom w:val="nil"/>
              <w:right w:val="nil"/>
            </w:tcBorders>
            <w:shd w:val="clear" w:color="auto" w:fill="auto"/>
          </w:tcPr>
          <w:p w:rsidR="004F69F8" w:rsidRDefault="004F69F8"/>
        </w:tc>
        <w:tc>
          <w:tcPr>
            <w:tcW w:w="3158"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Moderate  Stenosis</w:t>
            </w:r>
          </w:p>
        </w:tc>
        <w:tc>
          <w:tcPr>
            <w:tcW w:w="137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0.87</w:t>
            </w:r>
          </w:p>
        </w:tc>
        <w:tc>
          <w:tcPr>
            <w:tcW w:w="192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jc w:val="center"/>
            </w:pPr>
            <w:r>
              <w:rPr>
                <w:rFonts w:eastAsia="Calibri" w:hAnsi="Calibri" w:cs="Calibri"/>
                <w:lang w:val="en-US"/>
              </w:rPr>
              <w:t>0.05*</w:t>
            </w:r>
          </w:p>
        </w:tc>
      </w:tr>
      <w:tr w:rsidR="004F69F8">
        <w:trPr>
          <w:trHeight w:val="290"/>
        </w:trPr>
        <w:tc>
          <w:tcPr>
            <w:tcW w:w="2610" w:type="dxa"/>
            <w:vMerge/>
            <w:tcBorders>
              <w:top w:val="nil"/>
              <w:left w:val="nil"/>
              <w:bottom w:val="nil"/>
              <w:right w:val="nil"/>
            </w:tcBorders>
            <w:shd w:val="clear" w:color="auto" w:fill="auto"/>
          </w:tcPr>
          <w:p w:rsidR="004F69F8" w:rsidRDefault="004F69F8"/>
        </w:tc>
        <w:tc>
          <w:tcPr>
            <w:tcW w:w="3158"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pPr>
            <w:r>
              <w:rPr>
                <w:rFonts w:eastAsia="Calibri" w:hAnsi="Calibri" w:cs="Calibri"/>
                <w:lang w:val="en-US"/>
              </w:rPr>
              <w:t>Severe  Stenosis</w:t>
            </w:r>
          </w:p>
        </w:tc>
        <w:tc>
          <w:tcPr>
            <w:tcW w:w="137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0.75</w:t>
            </w:r>
          </w:p>
        </w:tc>
        <w:tc>
          <w:tcPr>
            <w:tcW w:w="192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jc w:val="center"/>
            </w:pPr>
            <w:r>
              <w:rPr>
                <w:rFonts w:eastAsia="Calibri" w:hAnsi="Calibri" w:cs="Calibri"/>
                <w:lang w:val="en-US"/>
              </w:rPr>
              <w:t>0.15</w:t>
            </w:r>
          </w:p>
        </w:tc>
      </w:tr>
      <w:tr w:rsidR="004F69F8">
        <w:trPr>
          <w:trHeight w:val="290"/>
        </w:trPr>
        <w:tc>
          <w:tcPr>
            <w:tcW w:w="2610" w:type="dxa"/>
            <w:vMerge/>
            <w:tcBorders>
              <w:top w:val="nil"/>
              <w:left w:val="nil"/>
              <w:bottom w:val="nil"/>
              <w:right w:val="nil"/>
            </w:tcBorders>
            <w:shd w:val="clear" w:color="auto" w:fill="auto"/>
          </w:tcPr>
          <w:p w:rsidR="004F69F8" w:rsidRDefault="004F69F8"/>
        </w:tc>
        <w:tc>
          <w:tcPr>
            <w:tcW w:w="3158"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 xml:space="preserve">Total </w:t>
            </w:r>
          </w:p>
        </w:tc>
        <w:tc>
          <w:tcPr>
            <w:tcW w:w="137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0.60</w:t>
            </w:r>
          </w:p>
        </w:tc>
        <w:tc>
          <w:tcPr>
            <w:tcW w:w="192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jc w:val="center"/>
            </w:pPr>
            <w:r>
              <w:rPr>
                <w:rFonts w:eastAsia="Calibri" w:hAnsi="Calibri" w:cs="Calibri"/>
                <w:lang w:val="en-US"/>
              </w:rPr>
              <w:t>0.95</w:t>
            </w:r>
          </w:p>
        </w:tc>
      </w:tr>
      <w:tr w:rsidR="004F69F8">
        <w:trPr>
          <w:trHeight w:val="295"/>
        </w:trPr>
        <w:tc>
          <w:tcPr>
            <w:tcW w:w="2610" w:type="dxa"/>
            <w:tcBorders>
              <w:top w:val="nil"/>
              <w:left w:val="nil"/>
              <w:bottom w:val="single" w:sz="4" w:space="0" w:color="5B9BD5"/>
              <w:right w:val="nil"/>
            </w:tcBorders>
            <w:shd w:val="clear" w:color="auto" w:fill="DEEAF6"/>
            <w:tcMar>
              <w:top w:w="80" w:type="dxa"/>
              <w:left w:w="80" w:type="dxa"/>
              <w:bottom w:w="80" w:type="dxa"/>
              <w:right w:w="80" w:type="dxa"/>
            </w:tcMar>
          </w:tcPr>
          <w:p w:rsidR="004F69F8" w:rsidRDefault="004F69F8"/>
        </w:tc>
        <w:tc>
          <w:tcPr>
            <w:tcW w:w="3158" w:type="dxa"/>
            <w:tcBorders>
              <w:top w:val="nil"/>
              <w:left w:val="nil"/>
              <w:bottom w:val="single" w:sz="4" w:space="0" w:color="5B9BD5"/>
              <w:right w:val="nil"/>
            </w:tcBorders>
            <w:shd w:val="clear" w:color="auto" w:fill="DEEAF6"/>
            <w:tcMar>
              <w:top w:w="80" w:type="dxa"/>
              <w:left w:w="80" w:type="dxa"/>
              <w:bottom w:w="80" w:type="dxa"/>
              <w:right w:w="80" w:type="dxa"/>
            </w:tcMar>
          </w:tcPr>
          <w:p w:rsidR="004F69F8" w:rsidRDefault="004F69F8"/>
        </w:tc>
        <w:tc>
          <w:tcPr>
            <w:tcW w:w="3296" w:type="dxa"/>
            <w:gridSpan w:val="2"/>
            <w:tcBorders>
              <w:top w:val="nil"/>
              <w:left w:val="nil"/>
              <w:bottom w:val="single" w:sz="4" w:space="0" w:color="5B9BD5"/>
              <w:right w:val="nil"/>
            </w:tcBorders>
            <w:shd w:val="clear" w:color="auto" w:fill="DEEAF6"/>
            <w:tcMar>
              <w:top w:w="80" w:type="dxa"/>
              <w:left w:w="80" w:type="dxa"/>
              <w:bottom w:w="80" w:type="dxa"/>
              <w:right w:w="80" w:type="dxa"/>
            </w:tcMar>
          </w:tcPr>
          <w:p w:rsidR="004F69F8" w:rsidRDefault="000D5DB9">
            <w:pPr>
              <w:pStyle w:val="Gvde"/>
              <w:jc w:val="center"/>
            </w:pPr>
            <w:r>
              <w:rPr>
                <w:rFonts w:eastAsia="Calibri" w:hAnsi="Calibri" w:cs="Calibri"/>
                <w:lang w:val="en-US"/>
              </w:rPr>
              <w:t>0.64*</w:t>
            </w:r>
          </w:p>
        </w:tc>
      </w:tr>
    </w:tbl>
    <w:p w:rsidR="004F69F8" w:rsidRDefault="004F69F8">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59" w:lineRule="auto"/>
        <w:rPr>
          <w:rFonts w:eastAsia="Times New Roman" w:hAnsi="Times New Roman" w:cs="Times New Roman"/>
        </w:rPr>
      </w:pPr>
    </w:p>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59" w:lineRule="auto"/>
        <w:rPr>
          <w:rFonts w:eastAsia="Times New Roman" w:hAnsi="Times New Roman" w:cs="Times New Roman"/>
        </w:rPr>
      </w:pPr>
      <w:r>
        <w:rPr>
          <w:rFonts w:eastAsia="Calibri" w:hAnsi="Calibri" w:cs="Calibri"/>
        </w:rPr>
        <w:t>*T-test</w:t>
      </w:r>
    </w:p>
    <w:p w:rsidR="004F69F8" w:rsidRDefault="004F69F8">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59" w:lineRule="auto"/>
      </w:pPr>
    </w:p>
    <w:p w:rsidR="004F69F8" w:rsidRDefault="004F69F8">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59" w:lineRule="auto"/>
      </w:pPr>
    </w:p>
    <w:p w:rsidR="004F69F8" w:rsidRDefault="000D5DB9">
      <w:pPr>
        <w:pStyle w:val="Gvde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line="276" w:lineRule="auto"/>
        <w:jc w:val="both"/>
        <w:rPr>
          <w:b/>
          <w:bCs/>
        </w:rPr>
      </w:pPr>
      <w:r>
        <w:rPr>
          <w:b/>
          <w:bCs/>
          <w:color w:val="0D0D0D"/>
        </w:rPr>
        <w:t xml:space="preserve">Table 6: </w:t>
      </w:r>
      <w:r>
        <w:rPr>
          <w:color w:val="0D0D0D"/>
        </w:rPr>
        <w:t>Evaluation of serum uric acid levels with atrial fibrillation</w:t>
      </w:r>
    </w:p>
    <w:tbl>
      <w:tblPr>
        <w:tblStyle w:val="TableNormal1"/>
        <w:tblW w:w="782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94"/>
        <w:gridCol w:w="1308"/>
        <w:gridCol w:w="1243"/>
        <w:gridCol w:w="1378"/>
      </w:tblGrid>
      <w:tr w:rsidR="004F69F8">
        <w:trPr>
          <w:trHeight w:val="300"/>
        </w:trPr>
        <w:tc>
          <w:tcPr>
            <w:tcW w:w="3893"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4F69F8"/>
        </w:tc>
        <w:tc>
          <w:tcPr>
            <w:tcW w:w="1308"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jc w:val="center"/>
            </w:pPr>
            <w:r>
              <w:rPr>
                <w:rFonts w:eastAsia="Calibri" w:hAnsi="Calibri" w:cs="Calibri"/>
                <w:lang w:val="en-US"/>
              </w:rPr>
              <w:t>Normal</w:t>
            </w:r>
          </w:p>
        </w:tc>
        <w:tc>
          <w:tcPr>
            <w:tcW w:w="1243"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jc w:val="center"/>
            </w:pPr>
            <w:r>
              <w:rPr>
                <w:rFonts w:eastAsia="Calibri" w:hAnsi="Calibri" w:cs="Calibri"/>
                <w:lang w:val="en-US"/>
              </w:rPr>
              <w:t>Abnormal</w:t>
            </w:r>
          </w:p>
        </w:tc>
        <w:tc>
          <w:tcPr>
            <w:tcW w:w="1378"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i/>
                <w:iCs/>
                <w:lang w:val="en-US"/>
              </w:rPr>
              <w:t>p</w:t>
            </w:r>
          </w:p>
        </w:tc>
      </w:tr>
      <w:tr w:rsidR="004F69F8">
        <w:trPr>
          <w:trHeight w:val="295"/>
        </w:trPr>
        <w:tc>
          <w:tcPr>
            <w:tcW w:w="3893"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pPr>
            <w:r>
              <w:rPr>
                <w:rFonts w:eastAsia="Calibri" w:hAnsi="Calibri" w:cs="Calibri"/>
                <w:lang w:val="en-US"/>
              </w:rPr>
              <w:t>Atrial fibrillation (+)</w:t>
            </w:r>
          </w:p>
        </w:tc>
        <w:tc>
          <w:tcPr>
            <w:tcW w:w="1308"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jc w:val="center"/>
            </w:pPr>
            <w:r>
              <w:rPr>
                <w:rFonts w:eastAsia="Calibri" w:hAnsi="Calibri" w:cs="Calibri"/>
                <w:lang w:val="en-US"/>
              </w:rPr>
              <w:t>22</w:t>
            </w:r>
          </w:p>
        </w:tc>
        <w:tc>
          <w:tcPr>
            <w:tcW w:w="1243"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jc w:val="center"/>
            </w:pPr>
            <w:r>
              <w:rPr>
                <w:rFonts w:eastAsia="Calibri" w:hAnsi="Calibri" w:cs="Calibri"/>
                <w:lang w:val="en-US"/>
              </w:rPr>
              <w:t>14</w:t>
            </w:r>
          </w:p>
        </w:tc>
        <w:tc>
          <w:tcPr>
            <w:tcW w:w="1378" w:type="dxa"/>
            <w:vMerge w:val="restart"/>
            <w:tcBorders>
              <w:top w:val="single" w:sz="4" w:space="0" w:color="5B9BD5"/>
              <w:left w:val="nil"/>
              <w:bottom w:val="single" w:sz="4" w:space="0" w:color="5B9BD5"/>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0.84</w:t>
            </w:r>
          </w:p>
        </w:tc>
      </w:tr>
      <w:tr w:rsidR="004F69F8">
        <w:trPr>
          <w:trHeight w:val="295"/>
        </w:trPr>
        <w:tc>
          <w:tcPr>
            <w:tcW w:w="3893" w:type="dxa"/>
            <w:tcBorders>
              <w:top w:val="nil"/>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pPr>
            <w:r>
              <w:rPr>
                <w:rFonts w:eastAsia="Calibri" w:hAnsi="Calibri" w:cs="Calibri"/>
                <w:lang w:val="en-US"/>
              </w:rPr>
              <w:t>Atrial fibrillation(-)</w:t>
            </w:r>
          </w:p>
        </w:tc>
        <w:tc>
          <w:tcPr>
            <w:tcW w:w="1308" w:type="dxa"/>
            <w:tcBorders>
              <w:top w:val="nil"/>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jc w:val="center"/>
            </w:pPr>
            <w:r>
              <w:rPr>
                <w:rFonts w:eastAsia="Calibri" w:hAnsi="Calibri" w:cs="Calibri"/>
                <w:lang w:val="en-US"/>
              </w:rPr>
              <w:t>86</w:t>
            </w:r>
          </w:p>
        </w:tc>
        <w:tc>
          <w:tcPr>
            <w:tcW w:w="1243" w:type="dxa"/>
            <w:tcBorders>
              <w:top w:val="nil"/>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jc w:val="center"/>
            </w:pPr>
            <w:r>
              <w:rPr>
                <w:rFonts w:eastAsia="Calibri" w:hAnsi="Calibri" w:cs="Calibri"/>
                <w:lang w:val="en-US"/>
              </w:rPr>
              <w:t>52</w:t>
            </w:r>
          </w:p>
        </w:tc>
        <w:tc>
          <w:tcPr>
            <w:tcW w:w="1378" w:type="dxa"/>
            <w:vMerge/>
            <w:tcBorders>
              <w:top w:val="single" w:sz="4" w:space="0" w:color="5B9BD5"/>
              <w:left w:val="nil"/>
              <w:bottom w:val="single" w:sz="4" w:space="0" w:color="5B9BD5"/>
              <w:right w:val="nil"/>
            </w:tcBorders>
            <w:shd w:val="clear" w:color="auto" w:fill="DEEAF6"/>
          </w:tcPr>
          <w:p w:rsidR="004F69F8" w:rsidRDefault="004F69F8"/>
        </w:tc>
      </w:tr>
    </w:tbl>
    <w:p w:rsidR="004F69F8" w:rsidRDefault="004F69F8">
      <w:pPr>
        <w:pStyle w:val="Gvde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jc w:val="both"/>
        <w:rPr>
          <w:b/>
          <w:bCs/>
        </w:rPr>
      </w:pPr>
    </w:p>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59" w:lineRule="auto"/>
        <w:rPr>
          <w:rFonts w:ascii="Calibri" w:eastAsia="Calibri" w:hAnsi="Calibri" w:cs="Calibri"/>
          <w:sz w:val="22"/>
          <w:szCs w:val="22"/>
        </w:rPr>
      </w:pPr>
      <w:r>
        <w:rPr>
          <w:rFonts w:eastAsia="Calibri" w:hAnsi="Calibri" w:cs="Calibri"/>
          <w:lang w:val="fr-FR"/>
        </w:rPr>
        <w:t>* Chi-square test</w:t>
      </w:r>
    </w:p>
    <w:p w:rsidR="004F69F8" w:rsidRDefault="004F69F8">
      <w:pPr>
        <w:pStyle w:val="GvdeA"/>
      </w:pPr>
    </w:p>
    <w:p w:rsidR="004F69F8" w:rsidRDefault="004F69F8">
      <w:pPr>
        <w:pStyle w:val="GvdeA"/>
      </w:pPr>
    </w:p>
    <w:p w:rsidR="004F69F8" w:rsidRDefault="004F69F8">
      <w:pPr>
        <w:pStyle w:val="GvdeA"/>
      </w:pPr>
    </w:p>
    <w:p w:rsidR="004F69F8" w:rsidRDefault="004F69F8">
      <w:pPr>
        <w:pStyle w:val="GvdeA"/>
      </w:pPr>
    </w:p>
    <w:p w:rsidR="004F69F8" w:rsidRDefault="004F69F8">
      <w:pPr>
        <w:pStyle w:val="GvdeA"/>
      </w:pPr>
    </w:p>
    <w:p w:rsidR="004F69F8" w:rsidRDefault="004F69F8">
      <w:pPr>
        <w:pStyle w:val="GvdeA"/>
      </w:pPr>
    </w:p>
    <w:p w:rsidR="004F69F8" w:rsidRDefault="004F69F8">
      <w:pPr>
        <w:pStyle w:val="GvdeA"/>
      </w:pPr>
    </w:p>
    <w:p w:rsidR="004F69F8" w:rsidRDefault="000D5DB9">
      <w:pPr>
        <w:pStyle w:val="GvdeA"/>
        <w:rPr>
          <w:b/>
          <w:bCs/>
          <w:color w:val="0D0D0D"/>
        </w:rPr>
      </w:pPr>
      <w:r>
        <w:rPr>
          <w:b/>
          <w:bCs/>
          <w:color w:val="0D0D0D"/>
        </w:rPr>
        <w:t>DISCUSSION</w:t>
      </w:r>
    </w:p>
    <w:p w:rsidR="004F69F8" w:rsidRDefault="004F69F8">
      <w:pPr>
        <w:pStyle w:val="GvdeA"/>
        <w:rPr>
          <w:color w:val="0D0D0D"/>
        </w:rPr>
      </w:pPr>
    </w:p>
    <w:p w:rsidR="004F69F8" w:rsidRDefault="000D5DB9">
      <w:pPr>
        <w:pStyle w:val="GvdeA"/>
        <w:ind w:firstLine="720"/>
        <w:jc w:val="both"/>
      </w:pPr>
      <w:r>
        <w:t>Stroke is the most common neurologic disease and the second most common cause of death (1). Stroke has various etiologic factors such as, age, sex, HT, hyperlipidemia, DM, and AF, and recently uric acid was listed among these factors (2). Detecting risk factors is an important therapeutic strategy in the management of ischemic stroke.</w:t>
      </w:r>
    </w:p>
    <w:p w:rsidR="004F69F8" w:rsidRDefault="000D5DB9">
      <w:pPr>
        <w:pStyle w:val="GvdeA"/>
        <w:ind w:firstLine="720"/>
        <w:jc w:val="both"/>
      </w:pPr>
      <w:r>
        <w:t>An association between SUA levels and outcomes of ischemic stroke has been reported, but the results are controversial. Previous studies have shown that SUA levels are significantly correlated with cardiovascular and cerebrovascular diseases (6). The mechanisms through which uric acid induces cardiovascular and renal dysfunction as well as stroke have been documented in animal models and in vitro studies (7,8). Tissue hypoxia can induce purine catabolism, which then increases the production of SUA. This process contributes to the formation of reactive oxygen stress. Indeed, accumulating evidence supports a direct pathophysiologic role of uric acid in processing atherosclerosis because elevated SUA metabolism produces reactive oxygen species, which induce inflammatory responses in vascular endothelial cells and indirectly stimulate macrophage infiltration in atherosclerotic vessels (9). Furthermore, hyperuricemia promotes platelet adhesiveness and damage to vascular smooth muscle cell and endothelia, contributing to the pathology of cerebrovascular events (10). Our aim in this study was to investigate the effect of high uric acid levels on atherosclerotic intracranial/</w:t>
      </w:r>
      <w:proofErr w:type="spellStart"/>
      <w:r>
        <w:t>extracranial</w:t>
      </w:r>
      <w:proofErr w:type="spellEnd"/>
      <w:r>
        <w:t xml:space="preserve"> artery stenosis and AF, and to determine whether high serum uric acid levels were an independent risk factor in acute ischemic stroke.</w:t>
      </w:r>
    </w:p>
    <w:p w:rsidR="004F69F8" w:rsidRDefault="000D5DB9">
      <w:pPr>
        <w:pStyle w:val="GvdeA"/>
        <w:ind w:firstLine="720"/>
        <w:jc w:val="both"/>
      </w:pPr>
      <w:r>
        <w:t xml:space="preserve">Weir et al. found an association between poor prognosis and moderate-severe disability and hyperuricemia in their study conducted on 2498 patients with acute stroke who were evaluated within the first 24 hours after stroke and the 90th day of stroke. In addition, hyperuricemia was found to be a risk factor for developing major vascular events in the same study (11). </w:t>
      </w:r>
      <w:proofErr w:type="spellStart"/>
      <w:r>
        <w:t>Neogi</w:t>
      </w:r>
      <w:proofErr w:type="spellEnd"/>
      <w:r>
        <w:t xml:space="preserve"> et al. found a significant relationship between higher serum uric acid levels and carotid atherosclerotic plaques in males. In that study, the authors also suggested that hyperuricemia accelerated the pro-inflammatory process, existed in large amount within the vascular atherosclerotic plaques, and induced pro-inflammatory processes in smooth muscle cells (12-15). In recent experimental studies, hyperuricemia was found to induce endothelial dysfunction and increase local oxidant formation, monocyte chemoattractant protein-1, interleukin (IL)-1-beta, IL-6, and systemic inflammatory mediators such as tumor necrosis factor (TNF)-alpha in the blood circulation (16-21). In our study, high SUA levels were found in atherosclerosis of the </w:t>
      </w:r>
      <w:proofErr w:type="spellStart"/>
      <w:r>
        <w:t>extracranial</w:t>
      </w:r>
      <w:proofErr w:type="spellEnd"/>
      <w:r>
        <w:t xml:space="preserve"> portion of the anterior circulation. Patients with higher uric acid levels had severe stenosis both in the anterior and posterior circulation.</w:t>
      </w:r>
    </w:p>
    <w:p w:rsidR="004F69F8" w:rsidRDefault="000D5DB9">
      <w:pPr>
        <w:pStyle w:val="GvdeA"/>
        <w:ind w:firstLine="720"/>
        <w:jc w:val="both"/>
      </w:pPr>
      <w:r>
        <w:t xml:space="preserve">In a study conducted in 237 patients in 2013, serum uric acid levels were found to be high in all types of stroke, but were the highest in the PACI group (22). In our study, SUA levels were highest in the LACI and PACI groups, respectively. </w:t>
      </w:r>
    </w:p>
    <w:p w:rsidR="004F69F8" w:rsidRDefault="000D5DB9">
      <w:pPr>
        <w:pStyle w:val="GvdeA"/>
        <w:ind w:firstLine="720"/>
        <w:jc w:val="both"/>
      </w:pPr>
      <w:r>
        <w:t xml:space="preserve">The relationship between serum uric acid and the effect of sex after acute ischemic stroke has yet to be explored. The biologic mechanisms underlying such sex specificity remains unclear. It is known that there is a sex difference in uric acid levels; women usually have lower uric acid levels than men (23). Several previous studies demonstrated that higher uric acid levels were significantly related with the development of HT and metabolic syndrome in women than in men. In the China Antihypertensive Trail in Acute Ischemic Stroke (CATIS) trial, Chen et al. found that elevated serum UA was positively associated with better prognosis in men, but not in women (24-26). In our study we found a relation between high uric acid levels in moderate and severe stenosis of the </w:t>
      </w:r>
      <w:proofErr w:type="spellStart"/>
      <w:r>
        <w:t>extracranial</w:t>
      </w:r>
      <w:proofErr w:type="spellEnd"/>
      <w:r>
        <w:t xml:space="preserve"> portion of the posterior circulation in women.</w:t>
      </w:r>
    </w:p>
    <w:p w:rsidR="00664C00" w:rsidRDefault="000D5DB9">
      <w:pPr>
        <w:pStyle w:val="GvdeA"/>
        <w:ind w:firstLine="720"/>
        <w:jc w:val="both"/>
        <w:rPr>
          <w:rFonts w:hAnsi="Times New Roman" w:cs="Times New Roman"/>
        </w:rPr>
      </w:pPr>
      <w:proofErr w:type="spellStart"/>
      <w:r>
        <w:t>Tamariz</w:t>
      </w:r>
      <w:proofErr w:type="spellEnd"/>
      <w:r>
        <w:t xml:space="preserve"> et al. examined the relationship between SUA levels with AF in the Atherosclerosis Risk in Communities Study (ARIC) study, the hypothesis was that high SUA levels would be indicative of AF (27). Animal studies have also shown that atrial electrical remodeling is en</w:t>
      </w:r>
      <w:r w:rsidR="001C0E6D">
        <w:t>abled with oxidative stress (28,</w:t>
      </w:r>
      <w:r>
        <w:t xml:space="preserve">29). The hypothesis of the </w:t>
      </w:r>
      <w:proofErr w:type="spellStart"/>
      <w:r>
        <w:t>Kuwabara</w:t>
      </w:r>
      <w:proofErr w:type="spellEnd"/>
      <w:r>
        <w:t xml:space="preserve"> et al. was that hyperuricemia induced the electrical remodeling process by affecting ion channel expression in atrial myocytes, and the authors thus examined whether it caused AF. In their study, uric acid levels above 8 mg/</w:t>
      </w:r>
      <w:proofErr w:type="spellStart"/>
      <w:r>
        <w:t>dL</w:t>
      </w:r>
      <w:proofErr w:type="spellEnd"/>
      <w:r>
        <w:t xml:space="preserve"> were shown to be independent predictors of AF. In the study group, the prevalence of AF was significantly lower in individuals using uric acid-lowering agents (30). In our study, AF was detected in 36 of 174 patients and elevation of uric acid was observed in 14 of these patients. </w:t>
      </w:r>
      <w:r w:rsidR="00664C00" w:rsidRPr="00664C00">
        <w:rPr>
          <w:rFonts w:hAnsi="Times New Roman" w:cs="Times New Roman"/>
          <w:bCs/>
          <w:color w:val="auto"/>
          <w:highlight w:val="yellow"/>
        </w:rPr>
        <w:t xml:space="preserve">There was no statistically significant difference between serum uric acid levels and AF; no statistically significant correlation was found between AF and atherosclerotic intracranial artery stenosis. We only found a correlation between </w:t>
      </w:r>
      <w:r w:rsidR="00664C00">
        <w:rPr>
          <w:rFonts w:hAnsi="Times New Roman" w:cs="Times New Roman"/>
          <w:highlight w:val="yellow"/>
        </w:rPr>
        <w:t>AF</w:t>
      </w:r>
      <w:r w:rsidR="00664C00" w:rsidRPr="00664C00">
        <w:rPr>
          <w:rFonts w:hAnsi="Times New Roman" w:cs="Times New Roman"/>
          <w:highlight w:val="yellow"/>
        </w:rPr>
        <w:t xml:space="preserve"> and </w:t>
      </w:r>
      <w:proofErr w:type="spellStart"/>
      <w:r w:rsidR="00664C00" w:rsidRPr="00664C00">
        <w:rPr>
          <w:rFonts w:hAnsi="Times New Roman" w:cs="Times New Roman"/>
          <w:highlight w:val="yellow"/>
        </w:rPr>
        <w:t>extracranial</w:t>
      </w:r>
      <w:proofErr w:type="spellEnd"/>
      <w:r w:rsidR="00664C00" w:rsidRPr="00664C00">
        <w:rPr>
          <w:rFonts w:hAnsi="Times New Roman" w:cs="Times New Roman"/>
          <w:highlight w:val="yellow"/>
        </w:rPr>
        <w:t xml:space="preserve"> atherosclerosis of the anterior circulation as contour irregularity and moderate stenosis (</w:t>
      </w:r>
      <w:r w:rsidR="00664C00" w:rsidRPr="00664C00">
        <w:rPr>
          <w:rFonts w:hAnsi="Times New Roman" w:cs="Times New Roman"/>
          <w:i/>
          <w:iCs/>
          <w:highlight w:val="yellow"/>
        </w:rPr>
        <w:t>p</w:t>
      </w:r>
      <w:r w:rsidR="00664C00" w:rsidRPr="00664C00">
        <w:rPr>
          <w:rFonts w:hAnsi="Times New Roman" w:cs="Times New Roman"/>
          <w:highlight w:val="yellow"/>
        </w:rPr>
        <w:t>=0.05)</w:t>
      </w:r>
      <w:r w:rsidR="00664C00">
        <w:rPr>
          <w:rFonts w:hAnsi="Times New Roman" w:cs="Times New Roman"/>
        </w:rPr>
        <w:t>.</w:t>
      </w:r>
    </w:p>
    <w:p w:rsidR="004F69F8" w:rsidRDefault="000D5DB9">
      <w:pPr>
        <w:pStyle w:val="GvdeA"/>
        <w:ind w:firstLine="720"/>
        <w:jc w:val="both"/>
      </w:pPr>
      <w:r>
        <w:t xml:space="preserve">The current literature does not support the treatment of asymptomatic hyperuricemia, even among subjects at high cardiovascular risk. The usefulness of reducing SUA with xanthine oxidase inhibitors in the setting of ischemic stroke and other acute illnesses still requires further evaluation with appropriately designed randomized controlled trials (31). </w:t>
      </w:r>
    </w:p>
    <w:p w:rsidR="004F69F8" w:rsidRDefault="000D5DB9">
      <w:pPr>
        <w:pStyle w:val="GvdeA"/>
        <w:ind w:firstLine="720"/>
        <w:jc w:val="both"/>
      </w:pPr>
      <w:r>
        <w:t>Our study is one of the few studies that is mostly based on SUA level</w:t>
      </w:r>
      <w:r w:rsidR="001C0E6D">
        <w:t>s and intracranial-</w:t>
      </w:r>
      <w:proofErr w:type="spellStart"/>
      <w:r w:rsidR="001C0E6D">
        <w:t>extracranial</w:t>
      </w:r>
      <w:proofErr w:type="spellEnd"/>
      <w:r w:rsidR="001C0E6D">
        <w:t xml:space="preserve"> </w:t>
      </w:r>
      <w:proofErr w:type="spellStart"/>
      <w:r>
        <w:t>arteriostenosis</w:t>
      </w:r>
      <w:proofErr w:type="spellEnd"/>
      <w:r>
        <w:t xml:space="preserve"> location. As a conclusion, in the present study, we found that LACI and PACI were the most frequent lesion locations for patients with high uric acid levels. According to our results, female patients have elevated uric acid levels in moderate and severe stenosis of </w:t>
      </w:r>
      <w:proofErr w:type="spellStart"/>
      <w:r>
        <w:t>extracranial</w:t>
      </w:r>
      <w:proofErr w:type="spellEnd"/>
      <w:r>
        <w:t xml:space="preserve"> portion of posterior circulation. So it has to be taken in consideration for woman with </w:t>
      </w:r>
      <w:proofErr w:type="spellStart"/>
      <w:r>
        <w:t>extracranial</w:t>
      </w:r>
      <w:proofErr w:type="spellEnd"/>
      <w:r>
        <w:t xml:space="preserve"> posterior circulation stenosis who has a high serum uric acid level.   </w:t>
      </w:r>
    </w:p>
    <w:p w:rsidR="004F69F8" w:rsidRDefault="000D5DB9">
      <w:pPr>
        <w:pStyle w:val="GvdeA"/>
        <w:ind w:firstLine="720"/>
        <w:jc w:val="both"/>
      </w:pPr>
      <w:r>
        <w:t xml:space="preserve">The limitation of our study is the small number of patients. It is possible that a significant relationship between high uric acid levels and atherosclerotic intracranial- </w:t>
      </w:r>
      <w:proofErr w:type="spellStart"/>
      <w:r>
        <w:t>extracranial</w:t>
      </w:r>
      <w:proofErr w:type="spellEnd"/>
      <w:r>
        <w:t xml:space="preserve"> artery stenosis and AF could have been shown with larger groups.</w:t>
      </w:r>
    </w:p>
    <w:p w:rsidR="004F69F8" w:rsidRDefault="004F69F8">
      <w:pPr>
        <w:pStyle w:val="GvdeA"/>
        <w:jc w:val="both"/>
      </w:pPr>
    </w:p>
    <w:p w:rsidR="004F69F8" w:rsidRDefault="000D5DB9">
      <w:pPr>
        <w:pStyle w:val="GvdeA"/>
        <w:jc w:val="both"/>
        <w:rPr>
          <w:b/>
          <w:bCs/>
        </w:rPr>
      </w:pPr>
      <w:r>
        <w:rPr>
          <w:b/>
          <w:bCs/>
        </w:rPr>
        <w:t>Conflict of interest</w:t>
      </w:r>
    </w:p>
    <w:p w:rsidR="004F69F8" w:rsidRDefault="000D5DB9">
      <w:pPr>
        <w:pStyle w:val="GvdeA"/>
        <w:jc w:val="both"/>
      </w:pPr>
      <w:r>
        <w:t xml:space="preserve">No conflict of interest was declared by the authors. </w:t>
      </w:r>
    </w:p>
    <w:p w:rsidR="004F69F8" w:rsidRDefault="004F69F8">
      <w:pPr>
        <w:pStyle w:val="Gvd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4F69F8" w:rsidRDefault="004F69F8">
      <w:pPr>
        <w:pStyle w:val="Gvd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4F69F8" w:rsidRDefault="000D5DB9">
      <w:pPr>
        <w:pStyle w:val="Gvd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rPr>
      </w:pPr>
      <w:r>
        <w:rPr>
          <w:b/>
          <w:bCs/>
        </w:rPr>
        <w:t>REFERENCES</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r>
        <w:t xml:space="preserve">Chin JH, </w:t>
      </w:r>
      <w:proofErr w:type="spellStart"/>
      <w:r>
        <w:t>Vora</w:t>
      </w:r>
      <w:proofErr w:type="spellEnd"/>
      <w:r>
        <w:t xml:space="preserve"> N. The global burden of neurologic diseases. Neurology 2014; 22; 83(4):349</w:t>
      </w:r>
      <w:r>
        <w:rPr>
          <w:rFonts w:hAnsi="Times New Roman"/>
        </w:rPr>
        <w:t>–</w:t>
      </w:r>
      <w:r>
        <w:t>351.</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proofErr w:type="spellStart"/>
      <w:r>
        <w:t>Iranmanesh</w:t>
      </w:r>
      <w:proofErr w:type="spellEnd"/>
      <w:r>
        <w:t xml:space="preserve"> F, </w:t>
      </w:r>
      <w:proofErr w:type="spellStart"/>
      <w:r>
        <w:t>Sheykholeslami</w:t>
      </w:r>
      <w:proofErr w:type="spellEnd"/>
      <w:r>
        <w:t xml:space="preserve"> NZ, </w:t>
      </w:r>
      <w:proofErr w:type="spellStart"/>
      <w:r>
        <w:t>Gadari</w:t>
      </w:r>
      <w:proofErr w:type="spellEnd"/>
      <w:r>
        <w:t xml:space="preserve"> F, </w:t>
      </w:r>
      <w:proofErr w:type="spellStart"/>
      <w:r>
        <w:t>Ahmady</w:t>
      </w:r>
      <w:proofErr w:type="spellEnd"/>
      <w:r>
        <w:t xml:space="preserve"> J. Acute ischemic non- embolic stroke and serum level of uric acid. Iran J Neurol. 2012;11(1):1-5.</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r>
        <w:t xml:space="preserve"> </w:t>
      </w:r>
      <w:proofErr w:type="spellStart"/>
      <w:r>
        <w:t>Sautin</w:t>
      </w:r>
      <w:proofErr w:type="spellEnd"/>
      <w:r>
        <w:t xml:space="preserve"> Y, Johnson R. Uric acid: The oxidant-antioxidant paradox. Nucleosides Nucleotides Nucleic Acids. 2008; 27 (6):608-619. </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r>
        <w:t xml:space="preserve">So A, </w:t>
      </w:r>
      <w:proofErr w:type="spellStart"/>
      <w:r>
        <w:t>Thorens</w:t>
      </w:r>
      <w:proofErr w:type="spellEnd"/>
      <w:r>
        <w:t xml:space="preserve"> B. Uric acid transport and disease. J </w:t>
      </w:r>
      <w:proofErr w:type="spellStart"/>
      <w:r>
        <w:t>Clin</w:t>
      </w:r>
      <w:proofErr w:type="spellEnd"/>
      <w:r>
        <w:t xml:space="preserve"> Invest. </w:t>
      </w:r>
      <w:proofErr w:type="gramStart"/>
      <w:r>
        <w:t>2010;120:1791</w:t>
      </w:r>
      <w:proofErr w:type="gramEnd"/>
      <w:r>
        <w:t>-9.</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r>
        <w:t xml:space="preserve">J Lin SD, Tsai DH, Hsu SR. Association between serum uric acid level and components of the metabolic syndrome. Chin Med Assoc. </w:t>
      </w:r>
      <w:proofErr w:type="gramStart"/>
      <w:r>
        <w:t>2006;69:512</w:t>
      </w:r>
      <w:proofErr w:type="gramEnd"/>
      <w:r>
        <w:t>-6.</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r>
        <w:t xml:space="preserve">Yang XL, Kim Y, Kim TJ, Jung S, Kim CK, Lee SH. Association of serum uric acid and </w:t>
      </w:r>
      <w:proofErr w:type="spellStart"/>
      <w:r>
        <w:t>cardioembolic</w:t>
      </w:r>
      <w:proofErr w:type="spellEnd"/>
      <w:r>
        <w:t xml:space="preserve"> stroke in patients with acute ischemic stroke. J </w:t>
      </w:r>
      <w:proofErr w:type="spellStart"/>
      <w:r>
        <w:t>Neurol</w:t>
      </w:r>
      <w:proofErr w:type="spellEnd"/>
      <w:r>
        <w:t xml:space="preserve"> Sci. 2016; 370:57</w:t>
      </w:r>
      <w:r>
        <w:rPr>
          <w:rFonts w:hAnsi="Times New Roman"/>
        </w:rPr>
        <w:t>–</w:t>
      </w:r>
      <w:r>
        <w:t>62.</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r>
        <w:t xml:space="preserve">Nakagawa T, Hu H, </w:t>
      </w:r>
      <w:proofErr w:type="spellStart"/>
      <w:r>
        <w:t>Zharikov</w:t>
      </w:r>
      <w:proofErr w:type="spellEnd"/>
      <w:r>
        <w:t xml:space="preserve"> S, Tuttle KR, Short RA, </w:t>
      </w:r>
      <w:proofErr w:type="spellStart"/>
      <w:r>
        <w:t>Glushakova</w:t>
      </w:r>
      <w:proofErr w:type="spellEnd"/>
      <w:r>
        <w:t xml:space="preserve"> O, et al. A causal role for uric acid in fructose- induced metabolic syndrome. Am J </w:t>
      </w:r>
      <w:proofErr w:type="spellStart"/>
      <w:r>
        <w:t>Physiol</w:t>
      </w:r>
      <w:proofErr w:type="spellEnd"/>
      <w:r>
        <w:t xml:space="preserve"> Renal Physiol. 2006;</w:t>
      </w:r>
      <w:proofErr w:type="gramStart"/>
      <w:r>
        <w:t>290:F</w:t>
      </w:r>
      <w:proofErr w:type="gramEnd"/>
      <w:r>
        <w:t>625-31.</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proofErr w:type="spellStart"/>
      <w:r>
        <w:t>Mazzali</w:t>
      </w:r>
      <w:proofErr w:type="spellEnd"/>
      <w:r>
        <w:t xml:space="preserve"> M, Hughes J, Kim YG, Jefferson JA, Kang DH, Gordon KL, et al. Elevated uric acid increases blood pressure in the rat by a novel crystal-independent mechanism. Hypertension. </w:t>
      </w:r>
      <w:proofErr w:type="gramStart"/>
      <w:r>
        <w:t>2001;38:1101</w:t>
      </w:r>
      <w:proofErr w:type="gramEnd"/>
      <w:r>
        <w:t>-6.</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proofErr w:type="spellStart"/>
      <w:r>
        <w:t>Dimitroula</w:t>
      </w:r>
      <w:proofErr w:type="spellEnd"/>
      <w:r>
        <w:t xml:space="preserve"> HV, </w:t>
      </w:r>
      <w:proofErr w:type="spellStart"/>
      <w:r>
        <w:t>Hatzitolios</w:t>
      </w:r>
      <w:proofErr w:type="spellEnd"/>
      <w:r>
        <w:t xml:space="preserve"> AI, </w:t>
      </w:r>
      <w:proofErr w:type="spellStart"/>
      <w:r>
        <w:t>Karvounis</w:t>
      </w:r>
      <w:proofErr w:type="spellEnd"/>
      <w:r>
        <w:t xml:space="preserve"> HI. The role of uric acid in stroke: the issue remains unresolved. Neurologist. </w:t>
      </w:r>
      <w:proofErr w:type="gramStart"/>
      <w:r>
        <w:t>2008;14:238</w:t>
      </w:r>
      <w:proofErr w:type="gramEnd"/>
      <w:r>
        <w:rPr>
          <w:rFonts w:hAnsi="Times New Roman"/>
        </w:rPr>
        <w:t>–</w:t>
      </w:r>
      <w:r>
        <w:t>242.</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r>
        <w:t xml:space="preserve">Ginsberg MH, </w:t>
      </w:r>
      <w:proofErr w:type="spellStart"/>
      <w:r>
        <w:t>Kozin</w:t>
      </w:r>
      <w:proofErr w:type="spellEnd"/>
      <w:r>
        <w:t xml:space="preserve"> F, O'Malley M, McCarty DJ. Release of platelet constituents by monosodium urate crystals. J </w:t>
      </w:r>
      <w:proofErr w:type="spellStart"/>
      <w:r>
        <w:t>Clin</w:t>
      </w:r>
      <w:proofErr w:type="spellEnd"/>
      <w:r>
        <w:t xml:space="preserve"> Invest. </w:t>
      </w:r>
      <w:proofErr w:type="gramStart"/>
      <w:r>
        <w:t>1977;60:999</w:t>
      </w:r>
      <w:proofErr w:type="gramEnd"/>
      <w:r>
        <w:t>-1007.</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r>
        <w:t xml:space="preserve">Weir CJ, Muir SW, Walters MR, Lees KR. Serum urate as an independent predictor of poor outcome and future vascular events after acute stroke. Stroke. </w:t>
      </w:r>
      <w:proofErr w:type="gramStart"/>
      <w:r>
        <w:t>2003;34:1951</w:t>
      </w:r>
      <w:proofErr w:type="gramEnd"/>
      <w:r>
        <w:t>-6.</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proofErr w:type="spellStart"/>
      <w:r>
        <w:t>Neogi</w:t>
      </w:r>
      <w:proofErr w:type="spellEnd"/>
      <w:r>
        <w:t xml:space="preserve"> T, Ellison RC, Hunt S, </w:t>
      </w:r>
      <w:proofErr w:type="spellStart"/>
      <w:r>
        <w:t>Terkeltaub</w:t>
      </w:r>
      <w:proofErr w:type="spellEnd"/>
      <w:r>
        <w:t xml:space="preserve"> R, </w:t>
      </w:r>
      <w:proofErr w:type="spellStart"/>
      <w:r>
        <w:t>Felson</w:t>
      </w:r>
      <w:proofErr w:type="spellEnd"/>
      <w:r>
        <w:t xml:space="preserve"> DT, Zhang Y. Serum uric acid is associated with carotid plaques: The National Heart, Lung, and Blood Institute Family Heart Study. J </w:t>
      </w:r>
      <w:proofErr w:type="spellStart"/>
      <w:r>
        <w:t>Rheumatol</w:t>
      </w:r>
      <w:proofErr w:type="spellEnd"/>
      <w:r>
        <w:t>. 2009; 36:378-384.</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proofErr w:type="spellStart"/>
      <w:r>
        <w:t>Tavil</w:t>
      </w:r>
      <w:proofErr w:type="spellEnd"/>
      <w:r>
        <w:t xml:space="preserve"> Y, Kaya MG, </w:t>
      </w:r>
      <w:proofErr w:type="spellStart"/>
      <w:r>
        <w:t>Oktar</w:t>
      </w:r>
      <w:proofErr w:type="spellEnd"/>
      <w:r>
        <w:t xml:space="preserve"> SO, Sen N, </w:t>
      </w:r>
      <w:proofErr w:type="spellStart"/>
      <w:r>
        <w:t>Okyay</w:t>
      </w:r>
      <w:proofErr w:type="spellEnd"/>
      <w:r>
        <w:t xml:space="preserve"> K, </w:t>
      </w:r>
      <w:proofErr w:type="spellStart"/>
      <w:r>
        <w:t>Yazici</w:t>
      </w:r>
      <w:proofErr w:type="spellEnd"/>
      <w:r>
        <w:t xml:space="preserve"> HU, et al. Uric acid level and its association with carotid intima-media thickness in patients with hypertension. Atherosclerosis 2008;197: 159-63.</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r>
        <w:t xml:space="preserve">Kawamoto R, Tomita H, Oka Y, Kodama A, </w:t>
      </w:r>
      <w:proofErr w:type="spellStart"/>
      <w:r>
        <w:t>Ohtsuka</w:t>
      </w:r>
      <w:proofErr w:type="spellEnd"/>
      <w:r>
        <w:t xml:space="preserve"> N, </w:t>
      </w:r>
      <w:proofErr w:type="spellStart"/>
      <w:r>
        <w:t>Kamitani</w:t>
      </w:r>
      <w:proofErr w:type="spellEnd"/>
      <w:r>
        <w:t xml:space="preserve"> A. Association between uric acid and carotid </w:t>
      </w:r>
      <w:proofErr w:type="spellStart"/>
      <w:r>
        <w:t>athherosclerosis</w:t>
      </w:r>
      <w:proofErr w:type="spellEnd"/>
      <w:r>
        <w:t xml:space="preserve"> in elderly persons. Intern Med </w:t>
      </w:r>
      <w:proofErr w:type="gramStart"/>
      <w:r>
        <w:t>2005;44:787</w:t>
      </w:r>
      <w:proofErr w:type="gramEnd"/>
      <w:r>
        <w:t>-93.</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proofErr w:type="spellStart"/>
      <w:r>
        <w:t>Iribarren</w:t>
      </w:r>
      <w:proofErr w:type="spellEnd"/>
      <w:r>
        <w:t xml:space="preserve"> C, Folsom AR, </w:t>
      </w:r>
      <w:proofErr w:type="spellStart"/>
      <w:r>
        <w:t>Eckfeldt</w:t>
      </w:r>
      <w:proofErr w:type="spellEnd"/>
      <w:r>
        <w:t xml:space="preserve"> JH, McGovern PJ, Nieto FJ. Correlates of uric acid and its association with asymptomatic carotid atherosclerosis: the ARIC Study. Atherosclerosis Risk in Communities. Ann </w:t>
      </w:r>
      <w:proofErr w:type="spellStart"/>
      <w:r>
        <w:t>Epidemiol</w:t>
      </w:r>
      <w:proofErr w:type="spellEnd"/>
      <w:r>
        <w:t xml:space="preserve">. </w:t>
      </w:r>
      <w:proofErr w:type="gramStart"/>
      <w:r>
        <w:t>1996;6:331</w:t>
      </w:r>
      <w:proofErr w:type="gramEnd"/>
      <w:r>
        <w:t>-40.</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r>
        <w:t xml:space="preserve">Kim SY, Guevara JP, Kim KM, Choi HK, </w:t>
      </w:r>
      <w:proofErr w:type="spellStart"/>
      <w:r>
        <w:t>Heitjan</w:t>
      </w:r>
      <w:proofErr w:type="spellEnd"/>
      <w:r>
        <w:t xml:space="preserve"> DF, Albert DA. Hyperuricemia and risk of stroke: A systematic Review and meta-analysis. Arthritis Rheum. 2009;</w:t>
      </w:r>
      <w:proofErr w:type="gramStart"/>
      <w:r>
        <w:t>15;61:885</w:t>
      </w:r>
      <w:proofErr w:type="gramEnd"/>
      <w:r>
        <w:t>-92.</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r>
        <w:t xml:space="preserve">Kang DH, Nakagawa T, Feng L, Watanabe S, Han L, </w:t>
      </w:r>
      <w:proofErr w:type="spellStart"/>
      <w:r>
        <w:t>Mazzali</w:t>
      </w:r>
      <w:proofErr w:type="spellEnd"/>
      <w:r>
        <w:t xml:space="preserve"> M, et al. A role for uric in the progressions of renal disease. J Am Soc Nephrol.2002 ;13 : 2888-2897</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r>
        <w:t xml:space="preserve">Johnson RJ, Kang DH, Feig D, </w:t>
      </w:r>
      <w:proofErr w:type="spellStart"/>
      <w:r>
        <w:t>Kivlighn</w:t>
      </w:r>
      <w:proofErr w:type="spellEnd"/>
      <w:r>
        <w:t xml:space="preserve"> S, </w:t>
      </w:r>
      <w:proofErr w:type="spellStart"/>
      <w:r>
        <w:t>Kanellis</w:t>
      </w:r>
      <w:proofErr w:type="spellEnd"/>
      <w:r>
        <w:t xml:space="preserve"> S, Watanabe S, et al. Is there a </w:t>
      </w:r>
      <w:proofErr w:type="spellStart"/>
      <w:r>
        <w:t>pathogenetic</w:t>
      </w:r>
      <w:proofErr w:type="spellEnd"/>
      <w:r>
        <w:t xml:space="preserve"> role for uric acid in hypertension and cardiovascular and renal disease? Hypertension. 2003;41:1183-1189</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proofErr w:type="spellStart"/>
      <w:r>
        <w:t>Kanellis</w:t>
      </w:r>
      <w:proofErr w:type="spellEnd"/>
      <w:r>
        <w:t xml:space="preserve"> J, Feig D, Johnson R. Does asymptomatic </w:t>
      </w:r>
      <w:proofErr w:type="spellStart"/>
      <w:r>
        <w:t>hyperuricaemia</w:t>
      </w:r>
      <w:proofErr w:type="spellEnd"/>
      <w:r>
        <w:t xml:space="preserve"> contribute to the development of renal and cardiovascular disease? An old controversy renewed. Nephrology (Carlton). </w:t>
      </w:r>
      <w:proofErr w:type="gramStart"/>
      <w:r>
        <w:t>2004;9:394</w:t>
      </w:r>
      <w:proofErr w:type="gramEnd"/>
      <w:r>
        <w:t>-399.</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r>
        <w:rPr>
          <w:lang w:val="fr-FR"/>
        </w:rPr>
        <w:t xml:space="preserve">Kang D, Han L, </w:t>
      </w:r>
      <w:proofErr w:type="spellStart"/>
      <w:r>
        <w:rPr>
          <w:lang w:val="fr-FR"/>
        </w:rPr>
        <w:t>Ouyang</w:t>
      </w:r>
      <w:proofErr w:type="spellEnd"/>
      <w:r>
        <w:rPr>
          <w:lang w:val="fr-FR"/>
        </w:rPr>
        <w:t xml:space="preserve"> X, Kahn AM, </w:t>
      </w:r>
      <w:proofErr w:type="spellStart"/>
      <w:r>
        <w:rPr>
          <w:lang w:val="fr-FR"/>
        </w:rPr>
        <w:t>Kanellis</w:t>
      </w:r>
      <w:proofErr w:type="spellEnd"/>
      <w:r>
        <w:rPr>
          <w:lang w:val="fr-FR"/>
        </w:rPr>
        <w:t xml:space="preserve"> J, Li P, et al</w:t>
      </w:r>
      <w:r>
        <w:rPr>
          <w:rFonts w:hAnsi="Times New Roman"/>
        </w:rPr>
        <w:t>·</w:t>
      </w:r>
      <w:r>
        <w:t xml:space="preserve">. Uric acid causes vascular smooth muscle cell proliferation by entering cells via a functional urate transporter. Am J </w:t>
      </w:r>
      <w:proofErr w:type="spellStart"/>
      <w:r>
        <w:t>Nephrol</w:t>
      </w:r>
      <w:proofErr w:type="spellEnd"/>
      <w:r>
        <w:t xml:space="preserve">. </w:t>
      </w:r>
      <w:proofErr w:type="gramStart"/>
      <w:r>
        <w:t>2005;25:425</w:t>
      </w:r>
      <w:proofErr w:type="gramEnd"/>
      <w:r>
        <w:t>-433.</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r>
        <w:t xml:space="preserve">Rao G, Corson M, </w:t>
      </w:r>
      <w:proofErr w:type="spellStart"/>
      <w:r>
        <w:t>Berk</w:t>
      </w:r>
      <w:proofErr w:type="spellEnd"/>
      <w:r>
        <w:t xml:space="preserve"> M. Uric acid stimulates vascular smooth cell proliferation by increasing platelet-derived growth factor A-chain expression. J Bio Chem. </w:t>
      </w:r>
      <w:proofErr w:type="gramStart"/>
      <w:r>
        <w:t>1991;266:8604</w:t>
      </w:r>
      <w:proofErr w:type="gramEnd"/>
      <w:r>
        <w:t>-8608.</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proofErr w:type="spellStart"/>
      <w:r>
        <w:t>Kamisli</w:t>
      </w:r>
      <w:proofErr w:type="spellEnd"/>
      <w:r>
        <w:t xml:space="preserve"> O, </w:t>
      </w:r>
      <w:proofErr w:type="spellStart"/>
      <w:r>
        <w:t>Gonullu</w:t>
      </w:r>
      <w:proofErr w:type="spellEnd"/>
      <w:r>
        <w:t xml:space="preserve"> S, </w:t>
      </w:r>
      <w:proofErr w:type="spellStart"/>
      <w:r>
        <w:t>Kamisli</w:t>
      </w:r>
      <w:proofErr w:type="spellEnd"/>
      <w:r>
        <w:t xml:space="preserve"> S, Kaplan Y, </w:t>
      </w:r>
      <w:proofErr w:type="spellStart"/>
      <w:r>
        <w:t>Ozcan</w:t>
      </w:r>
      <w:proofErr w:type="spellEnd"/>
      <w:r>
        <w:t xml:space="preserve"> A. The evaluation of serum uric acid levels in the ischemic stroke subtypes. Turkish Journal of Cerebrovascular Disease. </w:t>
      </w:r>
      <w:proofErr w:type="gramStart"/>
      <w:r>
        <w:t>2013;19:7</w:t>
      </w:r>
      <w:proofErr w:type="gramEnd"/>
      <w:r>
        <w:t>-10.</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r>
        <w:t xml:space="preserve">Chen LH, </w:t>
      </w:r>
      <w:proofErr w:type="spellStart"/>
      <w:r>
        <w:t>Zhong</w:t>
      </w:r>
      <w:proofErr w:type="spellEnd"/>
      <w:r>
        <w:t xml:space="preserve"> C, Xu T, Xu T, Peng Y, Wang A, et al. Sex-specific association between uric acid and outcomes after acute ischemic stroke: A Prospective Study from CATIS Trial. Nature. Scientific Reports. 2016; 6: 3835.</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proofErr w:type="spellStart"/>
      <w:r>
        <w:t>Kivity</w:t>
      </w:r>
      <w:proofErr w:type="spellEnd"/>
      <w:r>
        <w:t xml:space="preserve"> S, </w:t>
      </w:r>
      <w:proofErr w:type="spellStart"/>
      <w:r>
        <w:t>Kopel</w:t>
      </w:r>
      <w:proofErr w:type="spellEnd"/>
      <w:r>
        <w:t xml:space="preserve"> E, </w:t>
      </w:r>
      <w:proofErr w:type="spellStart"/>
      <w:r>
        <w:t>Maor</w:t>
      </w:r>
      <w:proofErr w:type="spellEnd"/>
      <w:r>
        <w:t xml:space="preserve"> E, Abu-</w:t>
      </w:r>
      <w:proofErr w:type="spellStart"/>
      <w:r>
        <w:t>Bachar</w:t>
      </w:r>
      <w:proofErr w:type="spellEnd"/>
      <w:r>
        <w:t xml:space="preserve"> F, </w:t>
      </w:r>
      <w:proofErr w:type="spellStart"/>
      <w:r>
        <w:t>Segev</w:t>
      </w:r>
      <w:proofErr w:type="spellEnd"/>
      <w:r>
        <w:t xml:space="preserve"> S, </w:t>
      </w:r>
      <w:proofErr w:type="spellStart"/>
      <w:r>
        <w:t>Sidi</w:t>
      </w:r>
      <w:proofErr w:type="spellEnd"/>
      <w:r>
        <w:t xml:space="preserve"> Y, et al. Association of serum uric acid and cardiovascular disease in healthy adults. Am J </w:t>
      </w:r>
      <w:proofErr w:type="spellStart"/>
      <w:r>
        <w:t>Cardiol</w:t>
      </w:r>
      <w:proofErr w:type="spellEnd"/>
      <w:r>
        <w:t xml:space="preserve"> 2013;111: 1146</w:t>
      </w:r>
      <w:r>
        <w:rPr>
          <w:rFonts w:hAnsi="Times New Roman"/>
        </w:rPr>
        <w:t>–</w:t>
      </w:r>
      <w:r>
        <w:t>51.</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r>
        <w:t xml:space="preserve">Zhang, W, Sun K, Yang Y, Zhang H, Hu FB, Hui R. Plasma uric acid and hypertension in a Chinese community: prospective study and </w:t>
      </w:r>
      <w:proofErr w:type="spellStart"/>
      <w:r>
        <w:t>metaanalysis</w:t>
      </w:r>
      <w:proofErr w:type="spellEnd"/>
      <w:r>
        <w:t xml:space="preserve">. </w:t>
      </w:r>
      <w:proofErr w:type="spellStart"/>
      <w:r>
        <w:t>Clin</w:t>
      </w:r>
      <w:proofErr w:type="spellEnd"/>
      <w:r>
        <w:t xml:space="preserve"> Chem. 2009; 55:2026</w:t>
      </w:r>
      <w:r>
        <w:rPr>
          <w:rFonts w:hAnsi="Times New Roman"/>
        </w:rPr>
        <w:t>–</w:t>
      </w:r>
      <w:r>
        <w:t>34.</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proofErr w:type="spellStart"/>
      <w:r>
        <w:t>Babio</w:t>
      </w:r>
      <w:proofErr w:type="spellEnd"/>
      <w:r>
        <w:t xml:space="preserve"> N, Martinez-Gonzalez MA, </w:t>
      </w:r>
      <w:proofErr w:type="spellStart"/>
      <w:r>
        <w:t>Estruch</w:t>
      </w:r>
      <w:proofErr w:type="spellEnd"/>
      <w:r>
        <w:t xml:space="preserve"> R, </w:t>
      </w:r>
      <w:proofErr w:type="spellStart"/>
      <w:r>
        <w:t>Warnberg</w:t>
      </w:r>
      <w:proofErr w:type="spellEnd"/>
      <w:r>
        <w:t xml:space="preserve"> J, </w:t>
      </w:r>
      <w:proofErr w:type="spellStart"/>
      <w:r>
        <w:t>Recondo</w:t>
      </w:r>
      <w:proofErr w:type="spellEnd"/>
      <w:r>
        <w:t xml:space="preserve"> J, Ortega-</w:t>
      </w:r>
      <w:proofErr w:type="spellStart"/>
      <w:r>
        <w:t>Calvo</w:t>
      </w:r>
      <w:proofErr w:type="spellEnd"/>
      <w:r>
        <w:t xml:space="preserve"> M, et al. Associations between serum uric acid concentrations and metabolic syndrome and its components in the PREDIMED study. </w:t>
      </w:r>
      <w:proofErr w:type="spellStart"/>
      <w:r>
        <w:t>Nutr</w:t>
      </w:r>
      <w:proofErr w:type="spellEnd"/>
      <w:r>
        <w:t xml:space="preserve"> </w:t>
      </w:r>
      <w:proofErr w:type="spellStart"/>
      <w:r>
        <w:t>Metab</w:t>
      </w:r>
      <w:proofErr w:type="spellEnd"/>
      <w:r>
        <w:t xml:space="preserve"> </w:t>
      </w:r>
      <w:proofErr w:type="spellStart"/>
      <w:r>
        <w:t>Cardiovasc</w:t>
      </w:r>
      <w:proofErr w:type="spellEnd"/>
      <w:r>
        <w:t xml:space="preserve"> Di. 2014; 25:173</w:t>
      </w:r>
      <w:r>
        <w:rPr>
          <w:rFonts w:hAnsi="Times New Roman"/>
        </w:rPr>
        <w:t>–</w:t>
      </w:r>
      <w:r>
        <w:t>80.</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proofErr w:type="spellStart"/>
      <w:r>
        <w:t>Tamariz</w:t>
      </w:r>
      <w:proofErr w:type="spellEnd"/>
      <w:r>
        <w:t xml:space="preserve"> L, Agarwal S, </w:t>
      </w:r>
      <w:proofErr w:type="spellStart"/>
      <w:r>
        <w:t>Soliman</w:t>
      </w:r>
      <w:proofErr w:type="spellEnd"/>
      <w:r>
        <w:t xml:space="preserve"> EZ, Chamberlain AM, </w:t>
      </w:r>
      <w:proofErr w:type="spellStart"/>
      <w:r>
        <w:t>Prineas</w:t>
      </w:r>
      <w:proofErr w:type="spellEnd"/>
      <w:r>
        <w:t xml:space="preserve"> R, Folsom AR, et al. Association of serum uric acid with incident atrial fibrillation. J Am Cardiol.2011; 108(9):1272-1276.</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proofErr w:type="spellStart"/>
      <w:r>
        <w:t>Carness</w:t>
      </w:r>
      <w:proofErr w:type="spellEnd"/>
      <w:r>
        <w:t xml:space="preserve"> CA, Chung MK, Nakayama T, Nakayama H, </w:t>
      </w:r>
      <w:proofErr w:type="spellStart"/>
      <w:r>
        <w:t>Baliga</w:t>
      </w:r>
      <w:proofErr w:type="spellEnd"/>
      <w:r>
        <w:t xml:space="preserve"> RS, </w:t>
      </w:r>
      <w:proofErr w:type="spellStart"/>
      <w:r>
        <w:t>Piao</w:t>
      </w:r>
      <w:proofErr w:type="spellEnd"/>
      <w:r>
        <w:t xml:space="preserve"> S, et al. Ascorbate attenuates atrial pacing-induced </w:t>
      </w:r>
      <w:proofErr w:type="spellStart"/>
      <w:r>
        <w:t>peroxinitrite</w:t>
      </w:r>
      <w:proofErr w:type="spellEnd"/>
      <w:r>
        <w:t xml:space="preserve"> formation and electrical remodeling and decreases the incidence of </w:t>
      </w:r>
      <w:proofErr w:type="spellStart"/>
      <w:r>
        <w:t>postopreative</w:t>
      </w:r>
      <w:proofErr w:type="spellEnd"/>
      <w:r>
        <w:t xml:space="preserve"> </w:t>
      </w:r>
      <w:proofErr w:type="spellStart"/>
      <w:r>
        <w:t>atrical</w:t>
      </w:r>
      <w:proofErr w:type="spellEnd"/>
      <w:r>
        <w:t xml:space="preserve"> fibrillation. Circ Res.2001;</w:t>
      </w:r>
      <w:proofErr w:type="gramStart"/>
      <w:r>
        <w:t>89:E</w:t>
      </w:r>
      <w:proofErr w:type="gramEnd"/>
      <w:r>
        <w:t xml:space="preserve"> 32-8D.</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proofErr w:type="spellStart"/>
      <w:r>
        <w:t>Korantzopoulos</w:t>
      </w:r>
      <w:proofErr w:type="spellEnd"/>
      <w:r>
        <w:t xml:space="preserve"> P, </w:t>
      </w:r>
      <w:proofErr w:type="spellStart"/>
      <w:r>
        <w:t>Kolettis</w:t>
      </w:r>
      <w:proofErr w:type="spellEnd"/>
      <w:r>
        <w:t xml:space="preserve"> TM, </w:t>
      </w:r>
      <w:proofErr w:type="spellStart"/>
      <w:r>
        <w:t>Galaris</w:t>
      </w:r>
      <w:proofErr w:type="spellEnd"/>
      <w:r>
        <w:t xml:space="preserve"> D, </w:t>
      </w:r>
      <w:proofErr w:type="spellStart"/>
      <w:r>
        <w:t>Goudevenos</w:t>
      </w:r>
      <w:proofErr w:type="spellEnd"/>
      <w:r>
        <w:t xml:space="preserve"> JA. The role of oxidative stress in the pathogenesis and perpetuation of atrial fibrillation. </w:t>
      </w:r>
      <w:proofErr w:type="spellStart"/>
      <w:r>
        <w:t>Int</w:t>
      </w:r>
      <w:proofErr w:type="spellEnd"/>
      <w:r>
        <w:t xml:space="preserve"> J </w:t>
      </w:r>
      <w:proofErr w:type="spellStart"/>
      <w:r>
        <w:t>Cardiol</w:t>
      </w:r>
      <w:proofErr w:type="spellEnd"/>
      <w:r>
        <w:t xml:space="preserve">. </w:t>
      </w:r>
      <w:proofErr w:type="gramStart"/>
      <w:r>
        <w:t>2007;115:135</w:t>
      </w:r>
      <w:proofErr w:type="gramEnd"/>
      <w:r>
        <w:t>-143.</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proofErr w:type="spellStart"/>
      <w:r>
        <w:t>Kuwabara</w:t>
      </w:r>
      <w:proofErr w:type="spellEnd"/>
      <w:r>
        <w:t xml:space="preserve"> M, </w:t>
      </w:r>
      <w:proofErr w:type="spellStart"/>
      <w:r>
        <w:t>Niwa</w:t>
      </w:r>
      <w:proofErr w:type="spellEnd"/>
      <w:r>
        <w:t xml:space="preserve"> K, </w:t>
      </w:r>
      <w:proofErr w:type="spellStart"/>
      <w:r>
        <w:t>Niinuma</w:t>
      </w:r>
      <w:proofErr w:type="spellEnd"/>
      <w:r>
        <w:t xml:space="preserve"> H. Hyperuricemia is an independent risk factor of atrial fibrillation due to electrical remodeling through activation of uric acid transporter. Arrhythmias: 2013; Volume 59, Issue 13.</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proofErr w:type="spellStart"/>
      <w:r>
        <w:t>Pasina</w:t>
      </w:r>
      <w:proofErr w:type="spellEnd"/>
      <w:r>
        <w:t xml:space="preserve"> L, </w:t>
      </w:r>
      <w:proofErr w:type="spellStart"/>
      <w:r>
        <w:t>Brucato</w:t>
      </w:r>
      <w:proofErr w:type="spellEnd"/>
      <w:r>
        <w:t xml:space="preserve"> AL, </w:t>
      </w:r>
      <w:proofErr w:type="spellStart"/>
      <w:r>
        <w:t>Djade</w:t>
      </w:r>
      <w:proofErr w:type="spellEnd"/>
      <w:r>
        <w:t xml:space="preserve"> CD, Di </w:t>
      </w:r>
      <w:proofErr w:type="spellStart"/>
      <w:r>
        <w:t>Corato</w:t>
      </w:r>
      <w:proofErr w:type="spellEnd"/>
      <w:r>
        <w:t xml:space="preserve"> P, </w:t>
      </w:r>
      <w:proofErr w:type="spellStart"/>
      <w:r>
        <w:t>Ghidoni</w:t>
      </w:r>
      <w:proofErr w:type="spellEnd"/>
      <w:r>
        <w:t xml:space="preserve"> S, </w:t>
      </w:r>
      <w:proofErr w:type="spellStart"/>
      <w:r>
        <w:t>Tetramanti</w:t>
      </w:r>
      <w:proofErr w:type="spellEnd"/>
      <w:r>
        <w:t xml:space="preserve"> M, et al. Inappropriate prescription of allopurinol and </w:t>
      </w:r>
      <w:proofErr w:type="spellStart"/>
      <w:r>
        <w:t>febuxostat</w:t>
      </w:r>
      <w:proofErr w:type="spellEnd"/>
      <w:r>
        <w:t xml:space="preserve"> and risk of adverse events in the elderly: results from the REPOSI registry. </w:t>
      </w:r>
      <w:proofErr w:type="spellStart"/>
      <w:r>
        <w:t>Eur</w:t>
      </w:r>
      <w:proofErr w:type="spellEnd"/>
      <w:r>
        <w:t xml:space="preserve"> J </w:t>
      </w:r>
      <w:proofErr w:type="spellStart"/>
      <w:r>
        <w:t>Clin</w:t>
      </w:r>
      <w:proofErr w:type="spellEnd"/>
      <w:r>
        <w:t xml:space="preserve"> </w:t>
      </w:r>
      <w:proofErr w:type="spellStart"/>
      <w:r>
        <w:t>Pharmacol</w:t>
      </w:r>
      <w:proofErr w:type="spellEnd"/>
      <w:r>
        <w:t xml:space="preserve"> </w:t>
      </w:r>
      <w:proofErr w:type="gramStart"/>
      <w:r>
        <w:t>2014;70:1495</w:t>
      </w:r>
      <w:proofErr w:type="gramEnd"/>
      <w:r>
        <w:t>-503.</w:t>
      </w:r>
    </w:p>
    <w:sectPr w:rsidR="004F69F8" w:rsidSect="004F69F8">
      <w:headerReference w:type="default" r:id="rId7"/>
      <w:footerReference w:type="default" r:id="rId8"/>
      <w:pgSz w:w="11900" w:h="16840"/>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3E1" w:rsidRDefault="008663E1" w:rsidP="004F69F8">
      <w:r>
        <w:separator/>
      </w:r>
    </w:p>
  </w:endnote>
  <w:endnote w:type="continuationSeparator" w:id="0">
    <w:p w:rsidR="008663E1" w:rsidRDefault="008663E1" w:rsidP="004F6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2"/>
    <w:family w:val="swiss"/>
    <w:pitch w:val="variable"/>
    <w:sig w:usb0="E0002A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9F8" w:rsidRDefault="004F69F8">
    <w:pPr>
      <w:pStyle w:val="BalkveAltlk"/>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3E1" w:rsidRDefault="008663E1" w:rsidP="004F69F8">
      <w:r>
        <w:separator/>
      </w:r>
    </w:p>
  </w:footnote>
  <w:footnote w:type="continuationSeparator" w:id="0">
    <w:p w:rsidR="008663E1" w:rsidRDefault="008663E1" w:rsidP="004F69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9F8" w:rsidRDefault="004F69F8">
    <w:pPr>
      <w:pStyle w:val="BalkveAltl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9635A"/>
    <w:multiLevelType w:val="multilevel"/>
    <w:tmpl w:val="79C4EF04"/>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 w15:restartNumberingAfterBreak="0">
    <w:nsid w:val="33B9727A"/>
    <w:multiLevelType w:val="multilevel"/>
    <w:tmpl w:val="E214DABE"/>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 w15:restartNumberingAfterBreak="0">
    <w:nsid w:val="557C357E"/>
    <w:multiLevelType w:val="multilevel"/>
    <w:tmpl w:val="C8447B6C"/>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9F8"/>
    <w:rsid w:val="000D5DB9"/>
    <w:rsid w:val="001C0E6D"/>
    <w:rsid w:val="00284551"/>
    <w:rsid w:val="004F69F8"/>
    <w:rsid w:val="00664C00"/>
    <w:rsid w:val="008663E1"/>
    <w:rsid w:val="00CA3A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6193"/>
  <w15:docId w15:val="{E763B3FE-F0A1-4387-BA90-6779802C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F69F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69F8"/>
    <w:rPr>
      <w:u w:val="single"/>
    </w:rPr>
  </w:style>
  <w:style w:type="table" w:customStyle="1" w:styleId="TableNormal1">
    <w:name w:val="Table Normal1"/>
    <w:rsid w:val="004F69F8"/>
    <w:tblPr>
      <w:tblInd w:w="0" w:type="dxa"/>
      <w:tblCellMar>
        <w:top w:w="0" w:type="dxa"/>
        <w:left w:w="0" w:type="dxa"/>
        <w:bottom w:w="0" w:type="dxa"/>
        <w:right w:w="0" w:type="dxa"/>
      </w:tblCellMar>
    </w:tblPr>
  </w:style>
  <w:style w:type="paragraph" w:customStyle="1" w:styleId="BalkveAltlk">
    <w:name w:val="Başlık ve Altlık"/>
    <w:rsid w:val="004F69F8"/>
    <w:pPr>
      <w:tabs>
        <w:tab w:val="right" w:pos="9020"/>
      </w:tabs>
    </w:pPr>
    <w:rPr>
      <w:rFonts w:ascii="Helvetica" w:hAnsi="Arial Unicode MS" w:cs="Arial Unicode MS"/>
      <w:color w:val="000000"/>
      <w:sz w:val="24"/>
      <w:szCs w:val="24"/>
    </w:rPr>
  </w:style>
  <w:style w:type="paragraph" w:customStyle="1" w:styleId="Gvde">
    <w:name w:val="Gövde"/>
    <w:rsid w:val="004F69F8"/>
    <w:rPr>
      <w:rFonts w:hAnsi="Arial Unicode MS" w:cs="Arial Unicode MS"/>
      <w:color w:val="000000"/>
      <w:sz w:val="24"/>
      <w:szCs w:val="24"/>
      <w:u w:color="000000"/>
    </w:rPr>
  </w:style>
  <w:style w:type="paragraph" w:customStyle="1" w:styleId="GvdeA">
    <w:name w:val="Gövde A"/>
    <w:rsid w:val="004F69F8"/>
    <w:rPr>
      <w:rFonts w:hAnsi="Arial Unicode MS" w:cs="Arial Unicode MS"/>
      <w:color w:val="000000"/>
      <w:sz w:val="24"/>
      <w:szCs w:val="24"/>
      <w:u w:color="000000"/>
      <w:lang w:val="en-US"/>
    </w:rPr>
  </w:style>
  <w:style w:type="numbering" w:customStyle="1" w:styleId="List0">
    <w:name w:val="List 0"/>
    <w:basedOn w:val="eAktarlan1Stili"/>
    <w:rsid w:val="004F69F8"/>
    <w:pPr>
      <w:numPr>
        <w:numId w:val="3"/>
      </w:numPr>
    </w:pPr>
  </w:style>
  <w:style w:type="numbering" w:customStyle="1" w:styleId="eAktarlan1Stili">
    <w:name w:val="İçe Aktarılan 1 Stili"/>
    <w:rsid w:val="004F6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3822</Words>
  <Characters>21786</Characters>
  <Application>Microsoft Office Word</Application>
  <DocSecurity>0</DocSecurity>
  <Lines>181</Lines>
  <Paragraphs>51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MIDI</dc:creator>
  <cp:lastModifiedBy>Mali</cp:lastModifiedBy>
  <cp:revision>2</cp:revision>
  <dcterms:created xsi:type="dcterms:W3CDTF">2019-01-28T07:57:00Z</dcterms:created>
  <dcterms:modified xsi:type="dcterms:W3CDTF">2019-01-28T07:57:00Z</dcterms:modified>
</cp:coreProperties>
</file>